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4A1B8ACB" w:rsidR="00575637" w:rsidRPr="0085522F" w:rsidRDefault="0085522F" w:rsidP="00F66C20">
      <w:pPr>
        <w:jc w:val="center"/>
        <w:rPr>
          <w:rFonts w:ascii="Arial" w:hAnsi="Arial" w:cs="Arial"/>
          <w:b/>
          <w:bCs/>
          <w:sz w:val="56"/>
          <w:szCs w:val="56"/>
        </w:rPr>
      </w:pPr>
      <w:r w:rsidRPr="0085522F">
        <w:rPr>
          <w:rFonts w:ascii="Arial" w:hAnsi="Arial" w:cs="Arial"/>
          <w:b/>
          <w:bCs/>
          <w:sz w:val="56"/>
          <w:szCs w:val="56"/>
        </w:rPr>
        <w:t>Recognition of Prior Learning (RPL)</w:t>
      </w:r>
    </w:p>
    <w:p w14:paraId="1DA864D1" w14:textId="5E787BFB" w:rsidR="0085522F" w:rsidRPr="0085522F" w:rsidRDefault="0085522F" w:rsidP="00F66C20">
      <w:pPr>
        <w:jc w:val="center"/>
        <w:rPr>
          <w:rFonts w:ascii="Arial" w:hAnsi="Arial" w:cs="Arial"/>
          <w:b/>
          <w:bCs/>
          <w:sz w:val="36"/>
          <w:szCs w:val="36"/>
        </w:rPr>
      </w:pPr>
      <w:r w:rsidRPr="0085522F">
        <w:rPr>
          <w:rFonts w:ascii="Arial" w:hAnsi="Arial" w:cs="Arial"/>
          <w:b/>
          <w:bCs/>
          <w:sz w:val="36"/>
          <w:szCs w:val="36"/>
        </w:rPr>
        <w:t>Credit Accumulation and Transfers Policy</w:t>
      </w:r>
    </w:p>
    <w:tbl>
      <w:tblPr>
        <w:tblStyle w:val="TableGrid"/>
        <w:tblW w:w="0" w:type="auto"/>
        <w:tblLook w:val="04A0" w:firstRow="1" w:lastRow="0" w:firstColumn="1" w:lastColumn="0" w:noHBand="0" w:noVBand="1"/>
      </w:tblPr>
      <w:tblGrid>
        <w:gridCol w:w="1800"/>
        <w:gridCol w:w="7216"/>
      </w:tblGrid>
      <w:tr w:rsidR="00C30681" w:rsidRPr="0085522F" w14:paraId="4519DE36" w14:textId="77777777" w:rsidTr="00F66C20">
        <w:tc>
          <w:tcPr>
            <w:tcW w:w="1800" w:type="dxa"/>
            <w:shd w:val="clear" w:color="auto" w:fill="006072"/>
          </w:tcPr>
          <w:p w14:paraId="02EC917E" w14:textId="77777777" w:rsidR="00C30681" w:rsidRPr="0085522F" w:rsidRDefault="00C30681" w:rsidP="00711A88">
            <w:pPr>
              <w:rPr>
                <w:rFonts w:ascii="Arial" w:hAnsi="Arial" w:cs="Arial"/>
                <w:b/>
                <w:bCs/>
                <w:color w:val="FFFFFF" w:themeColor="background1"/>
                <w:sz w:val="24"/>
                <w:szCs w:val="24"/>
              </w:rPr>
            </w:pPr>
            <w:r w:rsidRPr="0085522F">
              <w:rPr>
                <w:rFonts w:ascii="Arial" w:hAnsi="Arial" w:cs="Arial"/>
                <w:b/>
                <w:bCs/>
                <w:color w:val="FFFFFF" w:themeColor="background1"/>
                <w:sz w:val="24"/>
                <w:szCs w:val="24"/>
              </w:rPr>
              <w:t>Responsible</w:t>
            </w:r>
          </w:p>
        </w:tc>
        <w:tc>
          <w:tcPr>
            <w:tcW w:w="7216" w:type="dxa"/>
          </w:tcPr>
          <w:p w14:paraId="48963270" w14:textId="21869146"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Claudine Leoni</w:t>
            </w:r>
          </w:p>
        </w:tc>
      </w:tr>
      <w:tr w:rsidR="00C30681" w:rsidRPr="0085522F" w14:paraId="07879E87" w14:textId="77777777" w:rsidTr="00F66C20">
        <w:tc>
          <w:tcPr>
            <w:tcW w:w="1800" w:type="dxa"/>
            <w:shd w:val="clear" w:color="auto" w:fill="006072"/>
          </w:tcPr>
          <w:p w14:paraId="0C6EA133" w14:textId="0E3FE32F" w:rsidR="00C30681" w:rsidRPr="0085522F" w:rsidRDefault="00C30681" w:rsidP="00711A88">
            <w:pPr>
              <w:rPr>
                <w:rFonts w:ascii="Arial" w:hAnsi="Arial" w:cs="Arial"/>
                <w:b/>
                <w:bCs/>
                <w:color w:val="FFFFFF" w:themeColor="background1"/>
                <w:sz w:val="24"/>
                <w:szCs w:val="24"/>
              </w:rPr>
            </w:pPr>
            <w:r w:rsidRPr="0085522F">
              <w:rPr>
                <w:rFonts w:ascii="Arial" w:hAnsi="Arial" w:cs="Arial"/>
                <w:b/>
                <w:bCs/>
                <w:color w:val="FFFFFF" w:themeColor="background1"/>
                <w:sz w:val="24"/>
                <w:szCs w:val="24"/>
              </w:rPr>
              <w:t>Accountable</w:t>
            </w:r>
            <w:r w:rsidR="00F66C20" w:rsidRPr="0085522F">
              <w:rPr>
                <w:rFonts w:ascii="Arial" w:hAnsi="Arial" w:cs="Arial"/>
                <w:b/>
                <w:bCs/>
                <w:color w:val="FFFFFF" w:themeColor="background1"/>
                <w:sz w:val="24"/>
                <w:szCs w:val="24"/>
              </w:rPr>
              <w:t xml:space="preserve"> Author</w:t>
            </w:r>
          </w:p>
        </w:tc>
        <w:tc>
          <w:tcPr>
            <w:tcW w:w="7216" w:type="dxa"/>
          </w:tcPr>
          <w:p w14:paraId="0B2AE45E" w14:textId="3E11C0BB"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Nikki Blake</w:t>
            </w:r>
          </w:p>
        </w:tc>
      </w:tr>
    </w:tbl>
    <w:p w14:paraId="52619066" w14:textId="77777777" w:rsidR="009205DF" w:rsidRPr="0085522F" w:rsidRDefault="009205DF" w:rsidP="009205DF">
      <w:pPr>
        <w:rPr>
          <w:rFonts w:ascii="Arial" w:hAnsi="Arial" w:cs="Arial"/>
          <w:b/>
          <w:bCs/>
          <w:sz w:val="24"/>
          <w:szCs w:val="24"/>
        </w:rPr>
      </w:pPr>
    </w:p>
    <w:p w14:paraId="03ED87BA" w14:textId="77777777" w:rsidR="00C30681" w:rsidRPr="0085522F" w:rsidRDefault="00C30681" w:rsidP="00604CB8">
      <w:pPr>
        <w:ind w:left="-142"/>
        <w:rPr>
          <w:rFonts w:ascii="Arial" w:hAnsi="Arial" w:cs="Arial"/>
          <w:b/>
          <w:bCs/>
          <w:color w:val="011E41"/>
          <w:sz w:val="36"/>
          <w:szCs w:val="36"/>
        </w:rPr>
      </w:pPr>
      <w:r w:rsidRPr="0085522F">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60"/>
        <w:gridCol w:w="2173"/>
        <w:gridCol w:w="2264"/>
        <w:gridCol w:w="2319"/>
      </w:tblGrid>
      <w:tr w:rsidR="00C30681" w:rsidRPr="0085522F" w14:paraId="3C422713" w14:textId="77777777" w:rsidTr="00C30681">
        <w:tc>
          <w:tcPr>
            <w:tcW w:w="2614" w:type="dxa"/>
            <w:shd w:val="clear" w:color="auto" w:fill="006072"/>
          </w:tcPr>
          <w:p w14:paraId="4A7CA8E9" w14:textId="77777777" w:rsidR="00C30681" w:rsidRPr="0085522F" w:rsidRDefault="00C30681" w:rsidP="00711A88">
            <w:pPr>
              <w:rPr>
                <w:rFonts w:ascii="Arial" w:hAnsi="Arial" w:cs="Arial"/>
                <w:b/>
                <w:bCs/>
                <w:color w:val="FFFFFF" w:themeColor="background1"/>
                <w:sz w:val="24"/>
                <w:szCs w:val="24"/>
              </w:rPr>
            </w:pPr>
            <w:r w:rsidRPr="0085522F">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85522F" w:rsidRDefault="00C30681" w:rsidP="00711A88">
            <w:pPr>
              <w:rPr>
                <w:rFonts w:ascii="Arial" w:hAnsi="Arial" w:cs="Arial"/>
                <w:b/>
                <w:bCs/>
                <w:color w:val="FFFFFF" w:themeColor="background1"/>
                <w:sz w:val="24"/>
                <w:szCs w:val="24"/>
              </w:rPr>
            </w:pPr>
            <w:r w:rsidRPr="0085522F">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85522F" w:rsidRDefault="00F66C20" w:rsidP="00711A88">
            <w:pPr>
              <w:rPr>
                <w:rFonts w:ascii="Arial" w:hAnsi="Arial" w:cs="Arial"/>
                <w:b/>
                <w:bCs/>
                <w:color w:val="FFFFFF" w:themeColor="background1"/>
                <w:sz w:val="24"/>
                <w:szCs w:val="24"/>
              </w:rPr>
            </w:pPr>
            <w:r w:rsidRPr="0085522F">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85522F" w:rsidRDefault="00C30681" w:rsidP="00711A88">
            <w:pPr>
              <w:rPr>
                <w:rFonts w:ascii="Arial" w:hAnsi="Arial" w:cs="Arial"/>
                <w:b/>
                <w:bCs/>
                <w:color w:val="FFFFFF" w:themeColor="background1"/>
                <w:sz w:val="24"/>
                <w:szCs w:val="24"/>
              </w:rPr>
            </w:pPr>
            <w:r w:rsidRPr="0085522F">
              <w:rPr>
                <w:rFonts w:ascii="Arial" w:hAnsi="Arial" w:cs="Arial"/>
                <w:b/>
                <w:color w:val="FFFFFF" w:themeColor="background1"/>
                <w:sz w:val="24"/>
                <w:szCs w:val="24"/>
              </w:rPr>
              <w:t>Description of Revision</w:t>
            </w:r>
          </w:p>
        </w:tc>
      </w:tr>
      <w:tr w:rsidR="00C30681" w:rsidRPr="0085522F" w14:paraId="2237B461" w14:textId="77777777" w:rsidTr="00711A88">
        <w:tc>
          <w:tcPr>
            <w:tcW w:w="2614" w:type="dxa"/>
          </w:tcPr>
          <w:p w14:paraId="50E1DB6B" w14:textId="5C40F326"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June 2017</w:t>
            </w:r>
          </w:p>
        </w:tc>
        <w:tc>
          <w:tcPr>
            <w:tcW w:w="2614" w:type="dxa"/>
          </w:tcPr>
          <w:p w14:paraId="03AB77B5" w14:textId="4D727C12"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SCIL</w:t>
            </w:r>
          </w:p>
        </w:tc>
        <w:tc>
          <w:tcPr>
            <w:tcW w:w="2614" w:type="dxa"/>
          </w:tcPr>
          <w:p w14:paraId="641C1A71" w14:textId="0283C598"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SCIL SMT</w:t>
            </w:r>
          </w:p>
        </w:tc>
        <w:tc>
          <w:tcPr>
            <w:tcW w:w="2614" w:type="dxa"/>
          </w:tcPr>
          <w:p w14:paraId="252F4A07" w14:textId="0A6EE331"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Annual review</w:t>
            </w:r>
          </w:p>
        </w:tc>
      </w:tr>
      <w:tr w:rsidR="00C30681" w:rsidRPr="0085522F" w14:paraId="141CA7B7" w14:textId="77777777" w:rsidTr="00711A88">
        <w:tc>
          <w:tcPr>
            <w:tcW w:w="2614" w:type="dxa"/>
          </w:tcPr>
          <w:p w14:paraId="4E0FABCE" w14:textId="0F72BD51" w:rsidR="00C30681" w:rsidRPr="0085522F" w:rsidRDefault="0085522F" w:rsidP="00711A88">
            <w:pPr>
              <w:rPr>
                <w:rFonts w:ascii="Arial" w:hAnsi="Arial" w:cs="Arial"/>
                <w:color w:val="011E41"/>
                <w:sz w:val="24"/>
                <w:szCs w:val="24"/>
              </w:rPr>
            </w:pPr>
            <w:r w:rsidRPr="0085522F">
              <w:rPr>
                <w:rFonts w:ascii="Arial" w:hAnsi="Arial" w:cs="Arial"/>
                <w:color w:val="011E41"/>
                <w:sz w:val="24"/>
                <w:szCs w:val="24"/>
              </w:rPr>
              <w:t>June 2018</w:t>
            </w:r>
          </w:p>
        </w:tc>
        <w:tc>
          <w:tcPr>
            <w:tcW w:w="2614" w:type="dxa"/>
          </w:tcPr>
          <w:p w14:paraId="4A3ECB03" w14:textId="05E193EF" w:rsidR="00C30681" w:rsidRPr="0085522F" w:rsidRDefault="0085522F" w:rsidP="00711A88">
            <w:pPr>
              <w:rPr>
                <w:rFonts w:ascii="Arial" w:hAnsi="Arial" w:cs="Arial"/>
                <w:b/>
                <w:bCs/>
                <w:color w:val="011E41"/>
                <w:sz w:val="24"/>
                <w:szCs w:val="24"/>
              </w:rPr>
            </w:pPr>
            <w:r w:rsidRPr="0085522F">
              <w:rPr>
                <w:rFonts w:ascii="Arial" w:hAnsi="Arial" w:cs="Arial"/>
                <w:color w:val="011E41"/>
                <w:sz w:val="24"/>
                <w:szCs w:val="24"/>
              </w:rPr>
              <w:t>SCIL</w:t>
            </w:r>
          </w:p>
        </w:tc>
        <w:tc>
          <w:tcPr>
            <w:tcW w:w="2614" w:type="dxa"/>
          </w:tcPr>
          <w:p w14:paraId="65FF0F60" w14:textId="19D29D93" w:rsidR="00C30681" w:rsidRPr="0085522F" w:rsidRDefault="0085522F" w:rsidP="00711A88">
            <w:pPr>
              <w:rPr>
                <w:rFonts w:ascii="Arial" w:hAnsi="Arial" w:cs="Arial"/>
                <w:b/>
                <w:bCs/>
                <w:color w:val="011E41"/>
                <w:sz w:val="24"/>
                <w:szCs w:val="24"/>
              </w:rPr>
            </w:pPr>
            <w:r w:rsidRPr="0085522F">
              <w:rPr>
                <w:rFonts w:ascii="Arial" w:hAnsi="Arial" w:cs="Arial"/>
                <w:color w:val="011E41"/>
                <w:sz w:val="24"/>
                <w:szCs w:val="24"/>
              </w:rPr>
              <w:t>SCIL SMT</w:t>
            </w:r>
          </w:p>
        </w:tc>
        <w:tc>
          <w:tcPr>
            <w:tcW w:w="2614" w:type="dxa"/>
          </w:tcPr>
          <w:p w14:paraId="04FDB530" w14:textId="0282A47D" w:rsidR="00C30681" w:rsidRPr="0085522F" w:rsidRDefault="0085522F" w:rsidP="00711A88">
            <w:pPr>
              <w:rPr>
                <w:rFonts w:ascii="Arial" w:hAnsi="Arial" w:cs="Arial"/>
                <w:b/>
                <w:bCs/>
                <w:color w:val="011E41"/>
                <w:sz w:val="24"/>
                <w:szCs w:val="24"/>
              </w:rPr>
            </w:pPr>
            <w:r w:rsidRPr="0085522F">
              <w:rPr>
                <w:rFonts w:ascii="Arial" w:hAnsi="Arial" w:cs="Arial"/>
                <w:color w:val="011E41"/>
                <w:sz w:val="24"/>
                <w:szCs w:val="24"/>
              </w:rPr>
              <w:t>Annual review</w:t>
            </w:r>
          </w:p>
        </w:tc>
      </w:tr>
      <w:tr w:rsidR="00C30681" w:rsidRPr="0085522F" w14:paraId="7E5BAC63" w14:textId="77777777" w:rsidTr="00711A88">
        <w:tc>
          <w:tcPr>
            <w:tcW w:w="2614" w:type="dxa"/>
          </w:tcPr>
          <w:p w14:paraId="2A5AD094" w14:textId="7DD3FE9C" w:rsidR="00C30681" w:rsidRPr="0085522F" w:rsidRDefault="0085522F" w:rsidP="00711A88">
            <w:pPr>
              <w:rPr>
                <w:rFonts w:ascii="Arial" w:hAnsi="Arial" w:cs="Arial"/>
                <w:sz w:val="24"/>
                <w:szCs w:val="24"/>
              </w:rPr>
            </w:pPr>
            <w:r w:rsidRPr="0085522F">
              <w:rPr>
                <w:rFonts w:ascii="Arial" w:hAnsi="Arial" w:cs="Arial"/>
                <w:sz w:val="24"/>
                <w:szCs w:val="24"/>
              </w:rPr>
              <w:t>June 2019</w:t>
            </w:r>
          </w:p>
        </w:tc>
        <w:tc>
          <w:tcPr>
            <w:tcW w:w="2614" w:type="dxa"/>
          </w:tcPr>
          <w:p w14:paraId="790080F9" w14:textId="47DF812D" w:rsidR="00C30681" w:rsidRPr="0085522F" w:rsidRDefault="0085522F" w:rsidP="00711A88">
            <w:pPr>
              <w:rPr>
                <w:rFonts w:ascii="Arial" w:hAnsi="Arial" w:cs="Arial"/>
                <w:b/>
                <w:bCs/>
                <w:sz w:val="24"/>
                <w:szCs w:val="24"/>
              </w:rPr>
            </w:pPr>
            <w:r w:rsidRPr="0085522F">
              <w:rPr>
                <w:rFonts w:ascii="Arial" w:hAnsi="Arial" w:cs="Arial"/>
                <w:color w:val="011E41"/>
                <w:sz w:val="24"/>
                <w:szCs w:val="24"/>
              </w:rPr>
              <w:t>SCIL</w:t>
            </w:r>
          </w:p>
        </w:tc>
        <w:tc>
          <w:tcPr>
            <w:tcW w:w="2614" w:type="dxa"/>
          </w:tcPr>
          <w:p w14:paraId="2360CE0A" w14:textId="3FF3D76F" w:rsidR="00C30681" w:rsidRPr="0085522F" w:rsidRDefault="0085522F" w:rsidP="00711A88">
            <w:pPr>
              <w:rPr>
                <w:rFonts w:ascii="Arial" w:hAnsi="Arial" w:cs="Arial"/>
                <w:b/>
                <w:bCs/>
                <w:sz w:val="24"/>
                <w:szCs w:val="24"/>
              </w:rPr>
            </w:pPr>
            <w:r w:rsidRPr="0085522F">
              <w:rPr>
                <w:rFonts w:ascii="Arial" w:hAnsi="Arial" w:cs="Arial"/>
                <w:color w:val="011E41"/>
                <w:sz w:val="24"/>
                <w:szCs w:val="24"/>
              </w:rPr>
              <w:t>SCIL SMT</w:t>
            </w:r>
          </w:p>
        </w:tc>
        <w:tc>
          <w:tcPr>
            <w:tcW w:w="2614" w:type="dxa"/>
          </w:tcPr>
          <w:p w14:paraId="53CD1998" w14:textId="68ED1278" w:rsidR="00C30681" w:rsidRPr="0085522F" w:rsidRDefault="0085522F" w:rsidP="00711A88">
            <w:pPr>
              <w:rPr>
                <w:rFonts w:ascii="Arial" w:hAnsi="Arial" w:cs="Arial"/>
                <w:b/>
                <w:bCs/>
                <w:sz w:val="24"/>
                <w:szCs w:val="24"/>
              </w:rPr>
            </w:pPr>
            <w:r w:rsidRPr="0085522F">
              <w:rPr>
                <w:rFonts w:ascii="Arial" w:hAnsi="Arial" w:cs="Arial"/>
                <w:color w:val="011E41"/>
                <w:sz w:val="24"/>
                <w:szCs w:val="24"/>
              </w:rPr>
              <w:t>Annual review</w:t>
            </w:r>
          </w:p>
        </w:tc>
      </w:tr>
      <w:tr w:rsidR="00274B82" w:rsidRPr="0085522F" w14:paraId="786513B2" w14:textId="77777777" w:rsidTr="00711A88">
        <w:tc>
          <w:tcPr>
            <w:tcW w:w="2614" w:type="dxa"/>
          </w:tcPr>
          <w:p w14:paraId="69E4DC39" w14:textId="2588F626" w:rsidR="00274B82" w:rsidRPr="0085522F" w:rsidRDefault="0085522F" w:rsidP="00711A88">
            <w:pPr>
              <w:rPr>
                <w:rFonts w:ascii="Arial" w:hAnsi="Arial" w:cs="Arial"/>
                <w:sz w:val="24"/>
                <w:szCs w:val="24"/>
              </w:rPr>
            </w:pPr>
            <w:r w:rsidRPr="0085522F">
              <w:rPr>
                <w:rFonts w:ascii="Arial" w:hAnsi="Arial" w:cs="Arial"/>
                <w:sz w:val="24"/>
                <w:szCs w:val="24"/>
              </w:rPr>
              <w:t>June 2020</w:t>
            </w:r>
          </w:p>
        </w:tc>
        <w:tc>
          <w:tcPr>
            <w:tcW w:w="2614" w:type="dxa"/>
          </w:tcPr>
          <w:p w14:paraId="0BE17018" w14:textId="646B837F" w:rsidR="00274B82" w:rsidRPr="0085522F" w:rsidRDefault="0085522F" w:rsidP="00711A88">
            <w:pPr>
              <w:rPr>
                <w:rFonts w:ascii="Arial" w:hAnsi="Arial" w:cs="Arial"/>
                <w:b/>
                <w:bCs/>
                <w:sz w:val="24"/>
                <w:szCs w:val="24"/>
              </w:rPr>
            </w:pPr>
            <w:r w:rsidRPr="0085522F">
              <w:rPr>
                <w:rFonts w:ascii="Arial" w:hAnsi="Arial" w:cs="Arial"/>
                <w:color w:val="011E41"/>
                <w:sz w:val="24"/>
                <w:szCs w:val="24"/>
              </w:rPr>
              <w:t>SCIL</w:t>
            </w:r>
          </w:p>
        </w:tc>
        <w:tc>
          <w:tcPr>
            <w:tcW w:w="2614" w:type="dxa"/>
          </w:tcPr>
          <w:p w14:paraId="62960615" w14:textId="089C9EA9" w:rsidR="00274B82" w:rsidRPr="0085522F" w:rsidRDefault="0085522F" w:rsidP="00711A88">
            <w:pPr>
              <w:rPr>
                <w:rFonts w:ascii="Arial" w:hAnsi="Arial" w:cs="Arial"/>
                <w:b/>
                <w:bCs/>
                <w:sz w:val="24"/>
                <w:szCs w:val="24"/>
              </w:rPr>
            </w:pPr>
            <w:r w:rsidRPr="0085522F">
              <w:rPr>
                <w:rFonts w:ascii="Arial" w:hAnsi="Arial" w:cs="Arial"/>
                <w:color w:val="011E41"/>
                <w:sz w:val="24"/>
                <w:szCs w:val="24"/>
              </w:rPr>
              <w:t>SCIL SMT</w:t>
            </w:r>
          </w:p>
        </w:tc>
        <w:tc>
          <w:tcPr>
            <w:tcW w:w="2614" w:type="dxa"/>
          </w:tcPr>
          <w:p w14:paraId="30744AC4" w14:textId="69EA753D" w:rsidR="00274B82" w:rsidRPr="0085522F" w:rsidRDefault="0085522F" w:rsidP="00711A88">
            <w:pPr>
              <w:rPr>
                <w:rFonts w:ascii="Arial" w:hAnsi="Arial" w:cs="Arial"/>
                <w:b/>
                <w:bCs/>
                <w:sz w:val="24"/>
                <w:szCs w:val="24"/>
              </w:rPr>
            </w:pPr>
            <w:r w:rsidRPr="0085522F">
              <w:rPr>
                <w:rFonts w:ascii="Arial" w:hAnsi="Arial" w:cs="Arial"/>
                <w:color w:val="011E41"/>
                <w:sz w:val="24"/>
                <w:szCs w:val="24"/>
              </w:rPr>
              <w:t>Annual review</w:t>
            </w:r>
          </w:p>
        </w:tc>
      </w:tr>
      <w:tr w:rsidR="00274B82" w:rsidRPr="0085522F" w14:paraId="0826755C" w14:textId="77777777" w:rsidTr="00711A88">
        <w:tc>
          <w:tcPr>
            <w:tcW w:w="2614" w:type="dxa"/>
          </w:tcPr>
          <w:p w14:paraId="58B19357" w14:textId="02856942" w:rsidR="00274B82" w:rsidRPr="0085522F" w:rsidRDefault="0085522F" w:rsidP="00711A88">
            <w:pPr>
              <w:rPr>
                <w:rFonts w:ascii="Arial" w:hAnsi="Arial" w:cs="Arial"/>
                <w:sz w:val="24"/>
                <w:szCs w:val="24"/>
              </w:rPr>
            </w:pPr>
            <w:r w:rsidRPr="0085522F">
              <w:rPr>
                <w:rFonts w:ascii="Arial" w:hAnsi="Arial" w:cs="Arial"/>
                <w:sz w:val="24"/>
                <w:szCs w:val="24"/>
              </w:rPr>
              <w:t>October 2021</w:t>
            </w:r>
          </w:p>
        </w:tc>
        <w:tc>
          <w:tcPr>
            <w:tcW w:w="2614" w:type="dxa"/>
          </w:tcPr>
          <w:p w14:paraId="2F6E5E3A" w14:textId="0BA08B69" w:rsidR="00274B82" w:rsidRPr="0085522F" w:rsidRDefault="0085522F" w:rsidP="00711A88">
            <w:pPr>
              <w:rPr>
                <w:rFonts w:ascii="Arial" w:hAnsi="Arial" w:cs="Arial"/>
                <w:b/>
                <w:bCs/>
                <w:sz w:val="24"/>
                <w:szCs w:val="24"/>
              </w:rPr>
            </w:pPr>
            <w:r w:rsidRPr="0085522F">
              <w:rPr>
                <w:rFonts w:ascii="Arial" w:hAnsi="Arial" w:cs="Arial"/>
                <w:color w:val="011E41"/>
                <w:sz w:val="24"/>
                <w:szCs w:val="24"/>
              </w:rPr>
              <w:t>SCIL</w:t>
            </w:r>
          </w:p>
        </w:tc>
        <w:tc>
          <w:tcPr>
            <w:tcW w:w="2614" w:type="dxa"/>
          </w:tcPr>
          <w:p w14:paraId="3821A6F2" w14:textId="7B7F6AFE" w:rsidR="00274B82" w:rsidRPr="0085522F" w:rsidRDefault="0085522F" w:rsidP="00711A88">
            <w:pPr>
              <w:rPr>
                <w:rFonts w:ascii="Arial" w:hAnsi="Arial" w:cs="Arial"/>
                <w:b/>
                <w:bCs/>
                <w:sz w:val="24"/>
                <w:szCs w:val="24"/>
              </w:rPr>
            </w:pPr>
            <w:r w:rsidRPr="0085522F">
              <w:rPr>
                <w:rFonts w:ascii="Arial" w:hAnsi="Arial" w:cs="Arial"/>
                <w:color w:val="011E41"/>
                <w:sz w:val="24"/>
                <w:szCs w:val="24"/>
              </w:rPr>
              <w:t>SCIL SMT</w:t>
            </w:r>
          </w:p>
        </w:tc>
        <w:tc>
          <w:tcPr>
            <w:tcW w:w="2614" w:type="dxa"/>
          </w:tcPr>
          <w:p w14:paraId="7E0E5D83" w14:textId="39798E41" w:rsidR="00274B82" w:rsidRPr="0085522F" w:rsidRDefault="0085522F" w:rsidP="00711A88">
            <w:pPr>
              <w:rPr>
                <w:rFonts w:ascii="Arial" w:hAnsi="Arial" w:cs="Arial"/>
                <w:b/>
                <w:bCs/>
                <w:sz w:val="24"/>
                <w:szCs w:val="24"/>
              </w:rPr>
            </w:pPr>
            <w:r w:rsidRPr="0085522F">
              <w:rPr>
                <w:rFonts w:ascii="Arial" w:hAnsi="Arial" w:cs="Arial"/>
                <w:color w:val="011E41"/>
                <w:sz w:val="24"/>
                <w:szCs w:val="24"/>
              </w:rPr>
              <w:t>Annual review</w:t>
            </w:r>
          </w:p>
        </w:tc>
      </w:tr>
      <w:tr w:rsidR="00274B82" w:rsidRPr="0085522F" w14:paraId="20A9A09F" w14:textId="77777777" w:rsidTr="00711A88">
        <w:tc>
          <w:tcPr>
            <w:tcW w:w="2614" w:type="dxa"/>
          </w:tcPr>
          <w:p w14:paraId="46710D2F" w14:textId="2059146E" w:rsidR="00274B82" w:rsidRPr="0085522F" w:rsidRDefault="0085522F" w:rsidP="00711A88">
            <w:pPr>
              <w:rPr>
                <w:rFonts w:ascii="Arial" w:hAnsi="Arial" w:cs="Arial"/>
                <w:sz w:val="24"/>
                <w:szCs w:val="24"/>
              </w:rPr>
            </w:pPr>
            <w:r w:rsidRPr="0085522F">
              <w:rPr>
                <w:rFonts w:ascii="Arial" w:hAnsi="Arial" w:cs="Arial"/>
                <w:sz w:val="24"/>
                <w:szCs w:val="24"/>
              </w:rPr>
              <w:t>November 2022</w:t>
            </w:r>
          </w:p>
        </w:tc>
        <w:tc>
          <w:tcPr>
            <w:tcW w:w="2614" w:type="dxa"/>
          </w:tcPr>
          <w:p w14:paraId="7A1397D7" w14:textId="291100AE" w:rsidR="00274B82" w:rsidRPr="0085522F" w:rsidRDefault="0085522F" w:rsidP="00711A88">
            <w:pPr>
              <w:rPr>
                <w:rFonts w:ascii="Arial" w:hAnsi="Arial" w:cs="Arial"/>
                <w:b/>
                <w:bCs/>
                <w:sz w:val="24"/>
                <w:szCs w:val="24"/>
              </w:rPr>
            </w:pPr>
            <w:r w:rsidRPr="0085522F">
              <w:rPr>
                <w:rFonts w:ascii="Arial" w:hAnsi="Arial" w:cs="Arial"/>
                <w:color w:val="011E41"/>
                <w:sz w:val="24"/>
                <w:szCs w:val="24"/>
              </w:rPr>
              <w:t>SCIL</w:t>
            </w:r>
          </w:p>
        </w:tc>
        <w:tc>
          <w:tcPr>
            <w:tcW w:w="2614" w:type="dxa"/>
          </w:tcPr>
          <w:p w14:paraId="5CB51627" w14:textId="3E34C8F6" w:rsidR="00274B82" w:rsidRPr="0085522F" w:rsidRDefault="0085522F" w:rsidP="00711A88">
            <w:pPr>
              <w:rPr>
                <w:rFonts w:ascii="Arial" w:hAnsi="Arial" w:cs="Arial"/>
                <w:sz w:val="24"/>
                <w:szCs w:val="24"/>
              </w:rPr>
            </w:pPr>
            <w:r w:rsidRPr="0085522F">
              <w:rPr>
                <w:rFonts w:ascii="Arial" w:hAnsi="Arial" w:cs="Arial"/>
                <w:sz w:val="24"/>
                <w:szCs w:val="24"/>
              </w:rPr>
              <w:t>Lead IQA</w:t>
            </w:r>
          </w:p>
        </w:tc>
        <w:tc>
          <w:tcPr>
            <w:tcW w:w="2614" w:type="dxa"/>
          </w:tcPr>
          <w:p w14:paraId="2A1FCA89" w14:textId="1A09EAD0" w:rsidR="00274B82" w:rsidRPr="0085522F" w:rsidRDefault="0085522F" w:rsidP="00711A88">
            <w:pPr>
              <w:rPr>
                <w:rFonts w:ascii="Arial" w:hAnsi="Arial" w:cs="Arial"/>
                <w:b/>
                <w:bCs/>
                <w:sz w:val="24"/>
                <w:szCs w:val="24"/>
              </w:rPr>
            </w:pPr>
            <w:r w:rsidRPr="0085522F">
              <w:rPr>
                <w:rFonts w:ascii="Arial" w:hAnsi="Arial" w:cs="Arial"/>
                <w:color w:val="011E41"/>
                <w:sz w:val="24"/>
                <w:szCs w:val="24"/>
              </w:rPr>
              <w:t>Annual review</w:t>
            </w: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663A6DF4"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6A990FEA" w14:textId="3BBF66AA" w:rsidR="0085522F" w:rsidRDefault="0085522F" w:rsidP="00274B82">
      <w:pPr>
        <w:autoSpaceDE w:val="0"/>
        <w:autoSpaceDN w:val="0"/>
        <w:adjustRightInd w:val="0"/>
        <w:jc w:val="center"/>
        <w:rPr>
          <w:rFonts w:ascii="Arial" w:eastAsia="Calibri" w:hAnsi="Arial" w:cs="Arial"/>
          <w:sz w:val="24"/>
          <w:szCs w:val="24"/>
        </w:rPr>
      </w:pPr>
    </w:p>
    <w:p w14:paraId="38D24A5F" w14:textId="767BEFCE" w:rsidR="0085522F" w:rsidRDefault="0085522F" w:rsidP="00274B82">
      <w:pPr>
        <w:autoSpaceDE w:val="0"/>
        <w:autoSpaceDN w:val="0"/>
        <w:adjustRightInd w:val="0"/>
        <w:jc w:val="center"/>
        <w:rPr>
          <w:rFonts w:ascii="Arial" w:eastAsia="Calibri" w:hAnsi="Arial" w:cs="Arial"/>
          <w:sz w:val="24"/>
          <w:szCs w:val="24"/>
        </w:rPr>
      </w:pPr>
    </w:p>
    <w:p w14:paraId="0BABB51D" w14:textId="554FD600" w:rsidR="0085522F" w:rsidRDefault="0085522F" w:rsidP="00274B82">
      <w:pPr>
        <w:autoSpaceDE w:val="0"/>
        <w:autoSpaceDN w:val="0"/>
        <w:adjustRightInd w:val="0"/>
        <w:jc w:val="center"/>
        <w:rPr>
          <w:rFonts w:ascii="Arial" w:eastAsia="Calibri" w:hAnsi="Arial" w:cs="Arial"/>
          <w:sz w:val="24"/>
          <w:szCs w:val="24"/>
        </w:rPr>
      </w:pPr>
    </w:p>
    <w:p w14:paraId="2558FCD8" w14:textId="77777777" w:rsidR="0085522F" w:rsidRPr="0085522F" w:rsidRDefault="0085522F" w:rsidP="0085522F">
      <w:pPr>
        <w:pStyle w:val="paragraph"/>
        <w:spacing w:before="0" w:beforeAutospacing="0" w:after="0" w:afterAutospacing="0"/>
        <w:ind w:left="360"/>
        <w:textAlignment w:val="baseline"/>
        <w:rPr>
          <w:rFonts w:ascii="Arial" w:hAnsi="Arial" w:cs="Arial"/>
        </w:rPr>
      </w:pPr>
      <w:r w:rsidRPr="0085522F">
        <w:rPr>
          <w:rStyle w:val="eop"/>
          <w:rFonts w:ascii="Arial" w:hAnsi="Arial" w:cs="Arial"/>
        </w:rPr>
        <w:t> </w:t>
      </w:r>
    </w:p>
    <w:p w14:paraId="61E8AD14"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Appendix 1 – Study Centre</w:t>
      </w:r>
      <w:r w:rsidRPr="0085522F">
        <w:rPr>
          <w:rStyle w:val="eop"/>
          <w:rFonts w:ascii="Arial" w:hAnsi="Arial" w:cs="Arial"/>
        </w:rPr>
        <w:t> </w:t>
      </w:r>
    </w:p>
    <w:p w14:paraId="3644C477"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0731C7CD"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Policy</w:t>
      </w:r>
      <w:r w:rsidRPr="0085522F">
        <w:rPr>
          <w:rStyle w:val="eop"/>
          <w:rFonts w:ascii="Arial" w:hAnsi="Arial" w:cs="Arial"/>
        </w:rPr>
        <w:t> </w:t>
      </w:r>
    </w:p>
    <w:p w14:paraId="1BCAAA4A"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48F38FCE"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A learner must produce valid and reliable evidence of prior learning to support any claims based on experience.  A learner may claim RPL against a whole unit or several units.  It is not possible to award part units, but where the RPL evidence does not fully meet the needs of a complete unit, the missing information may be provided via the same assessment processes that are undertaken by a taught group of learners.</w:t>
      </w:r>
      <w:r w:rsidRPr="0085522F">
        <w:rPr>
          <w:rStyle w:val="eop"/>
          <w:rFonts w:ascii="Arial" w:hAnsi="Arial" w:cs="Arial"/>
        </w:rPr>
        <w:t> </w:t>
      </w:r>
    </w:p>
    <w:p w14:paraId="42E0B12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40F8B414" w14:textId="77777777" w:rsidR="0085522F" w:rsidRPr="0085522F" w:rsidRDefault="0085522F" w:rsidP="0085522F">
      <w:pPr>
        <w:pStyle w:val="paragraph"/>
        <w:spacing w:before="0" w:beforeAutospacing="0" w:after="0" w:afterAutospacing="0"/>
        <w:textAlignment w:val="baseline"/>
        <w:rPr>
          <w:rFonts w:ascii="Arial" w:hAnsi="Arial" w:cs="Arial"/>
        </w:rPr>
      </w:pPr>
      <w:proofErr w:type="gramStart"/>
      <w:r w:rsidRPr="0085522F">
        <w:rPr>
          <w:rStyle w:val="normaltextrun"/>
          <w:rFonts w:ascii="Arial" w:hAnsi="Arial" w:cs="Arial"/>
        </w:rPr>
        <w:t>In order to</w:t>
      </w:r>
      <w:proofErr w:type="gramEnd"/>
      <w:r w:rsidRPr="0085522F">
        <w:rPr>
          <w:rStyle w:val="normaltextrun"/>
          <w:rFonts w:ascii="Arial" w:hAnsi="Arial" w:cs="Arial"/>
        </w:rPr>
        <w:t xml:space="preserve"> achieve recognition of achievement there are 2 options open to the learner: </w:t>
      </w:r>
      <w:r w:rsidRPr="0085522F">
        <w:rPr>
          <w:rStyle w:val="eop"/>
          <w:rFonts w:ascii="Arial" w:hAnsi="Arial" w:cs="Arial"/>
        </w:rPr>
        <w:t> </w:t>
      </w:r>
    </w:p>
    <w:p w14:paraId="202142BA" w14:textId="77777777" w:rsidR="0085522F" w:rsidRPr="0085522F" w:rsidRDefault="0085522F" w:rsidP="0085522F">
      <w:pPr>
        <w:pStyle w:val="paragraph"/>
        <w:numPr>
          <w:ilvl w:val="0"/>
          <w:numId w:val="25"/>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Undertake the same assessments as those following the formal course of learning and assessment that lead to the desired unit or qualification.  These assessments may be undertaken without attending teaching sessions.</w:t>
      </w:r>
      <w:r w:rsidRPr="0085522F">
        <w:rPr>
          <w:rStyle w:val="eop"/>
          <w:rFonts w:ascii="Arial" w:hAnsi="Arial" w:cs="Arial"/>
        </w:rPr>
        <w:t> </w:t>
      </w:r>
    </w:p>
    <w:p w14:paraId="37099CC8" w14:textId="77777777" w:rsidR="0085522F" w:rsidRPr="0085522F" w:rsidRDefault="0085522F" w:rsidP="0085522F">
      <w:pPr>
        <w:pStyle w:val="paragraph"/>
        <w:numPr>
          <w:ilvl w:val="0"/>
          <w:numId w:val="25"/>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Submit a portfolio of evidence based on previous learning, skills and or competence cross referenced to the learning outcomes and assessment criteria of the unit or units for which RPL is being sought.</w:t>
      </w:r>
      <w:r w:rsidRPr="0085522F">
        <w:rPr>
          <w:rStyle w:val="eop"/>
          <w:rFonts w:ascii="Arial" w:hAnsi="Arial" w:cs="Arial"/>
        </w:rPr>
        <w:t> </w:t>
      </w:r>
    </w:p>
    <w:p w14:paraId="06D07BE0" w14:textId="77777777" w:rsidR="0085522F" w:rsidRPr="0085522F" w:rsidRDefault="0085522F" w:rsidP="0085522F">
      <w:pPr>
        <w:pStyle w:val="paragraph"/>
        <w:spacing w:before="0" w:beforeAutospacing="0" w:after="0" w:afterAutospacing="0"/>
        <w:ind w:left="360"/>
        <w:textAlignment w:val="baseline"/>
        <w:rPr>
          <w:rFonts w:ascii="Arial" w:hAnsi="Arial" w:cs="Arial"/>
        </w:rPr>
      </w:pPr>
      <w:r w:rsidRPr="0085522F">
        <w:rPr>
          <w:rStyle w:val="eop"/>
          <w:rFonts w:ascii="Arial" w:hAnsi="Arial" w:cs="Arial"/>
        </w:rPr>
        <w:t> </w:t>
      </w:r>
    </w:p>
    <w:p w14:paraId="072D0457"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Under some circumstances there may be a limit to the proportion of a qualification that can be achieved by either credit transfer or RPL according to guidelines published from time to time by our Awarding organisations.</w:t>
      </w:r>
      <w:r w:rsidRPr="0085522F">
        <w:rPr>
          <w:rStyle w:val="eop"/>
          <w:rFonts w:ascii="Arial" w:hAnsi="Arial" w:cs="Arial"/>
        </w:rPr>
        <w:t> </w:t>
      </w:r>
    </w:p>
    <w:p w14:paraId="650C276A"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1E50F4F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learner must play an active role in the process as s/he must produce evidence and map it to the learning outcomes and assessment criteria of all units s/he wishes to claim.</w:t>
      </w:r>
      <w:r w:rsidRPr="0085522F">
        <w:rPr>
          <w:rStyle w:val="eop"/>
          <w:rFonts w:ascii="Arial" w:hAnsi="Arial" w:cs="Arial"/>
        </w:rPr>
        <w:t> </w:t>
      </w:r>
    </w:p>
    <w:p w14:paraId="22D33B78"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1C9D2EDB"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Procedure</w:t>
      </w:r>
      <w:r w:rsidRPr="0085522F">
        <w:rPr>
          <w:rStyle w:val="eop"/>
          <w:rFonts w:ascii="Arial" w:hAnsi="Arial" w:cs="Arial"/>
        </w:rPr>
        <w:t> </w:t>
      </w:r>
    </w:p>
    <w:p w14:paraId="551B4D3E"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process for RPL is outlined below, with common steps and actions outlined. The actual evidence required will depend upon the learning outcomes and the assessment criteria of the award.</w:t>
      </w:r>
      <w:r w:rsidRPr="0085522F">
        <w:rPr>
          <w:rStyle w:val="eop"/>
          <w:rFonts w:ascii="Arial" w:hAnsi="Arial" w:cs="Arial"/>
        </w:rPr>
        <w:t> </w:t>
      </w:r>
    </w:p>
    <w:p w14:paraId="136F1A8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28590F60"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 xml:space="preserve">Stage 1 – Awareness, </w:t>
      </w:r>
      <w:proofErr w:type="gramStart"/>
      <w:r w:rsidRPr="0085522F">
        <w:rPr>
          <w:rStyle w:val="normaltextrun"/>
          <w:rFonts w:ascii="Arial" w:hAnsi="Arial" w:cs="Arial"/>
          <w:b/>
          <w:bCs/>
        </w:rPr>
        <w:t>information</w:t>
      </w:r>
      <w:proofErr w:type="gramEnd"/>
      <w:r w:rsidRPr="0085522F">
        <w:rPr>
          <w:rStyle w:val="normaltextrun"/>
          <w:rFonts w:ascii="Arial" w:hAnsi="Arial" w:cs="Arial"/>
          <w:b/>
          <w:bCs/>
        </w:rPr>
        <w:t xml:space="preserve"> and guidance</w:t>
      </w:r>
      <w:r w:rsidRPr="0085522F">
        <w:rPr>
          <w:rStyle w:val="eop"/>
          <w:rFonts w:ascii="Arial" w:hAnsi="Arial" w:cs="Arial"/>
        </w:rPr>
        <w:t> </w:t>
      </w:r>
    </w:p>
    <w:p w14:paraId="7BAF8C0B"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Ahead of enrolling a potential SALT, the possibility that they may be able to claim credit for some of their previous learning should be raised with them. If the SALT is interested in this, they will need to know the:</w:t>
      </w:r>
      <w:r w:rsidRPr="0085522F">
        <w:rPr>
          <w:rStyle w:val="eop"/>
          <w:rFonts w:ascii="Arial" w:hAnsi="Arial" w:cs="Arial"/>
        </w:rPr>
        <w:t> </w:t>
      </w:r>
    </w:p>
    <w:p w14:paraId="189C8EB7" w14:textId="77777777" w:rsidR="0085522F" w:rsidRPr="0085522F" w:rsidRDefault="0085522F" w:rsidP="0085522F">
      <w:pPr>
        <w:pStyle w:val="paragraph"/>
        <w:numPr>
          <w:ilvl w:val="0"/>
          <w:numId w:val="26"/>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Process of claiming achievement by using RPL</w:t>
      </w:r>
      <w:r w:rsidRPr="0085522F">
        <w:rPr>
          <w:rStyle w:val="eop"/>
          <w:rFonts w:ascii="Arial" w:hAnsi="Arial" w:cs="Arial"/>
        </w:rPr>
        <w:t> </w:t>
      </w:r>
    </w:p>
    <w:p w14:paraId="491BBAC0" w14:textId="77777777" w:rsidR="0085522F" w:rsidRPr="0085522F" w:rsidRDefault="0085522F" w:rsidP="0085522F">
      <w:pPr>
        <w:pStyle w:val="paragraph"/>
        <w:numPr>
          <w:ilvl w:val="0"/>
          <w:numId w:val="26"/>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Sources of support and guidance available to them</w:t>
      </w:r>
      <w:r w:rsidRPr="0085522F">
        <w:rPr>
          <w:rStyle w:val="eop"/>
          <w:rFonts w:ascii="Arial" w:hAnsi="Arial" w:cs="Arial"/>
        </w:rPr>
        <w:t> </w:t>
      </w:r>
    </w:p>
    <w:p w14:paraId="47D84166" w14:textId="77777777" w:rsidR="0085522F" w:rsidRPr="0085522F" w:rsidRDefault="0085522F" w:rsidP="0085522F">
      <w:pPr>
        <w:pStyle w:val="paragraph"/>
        <w:numPr>
          <w:ilvl w:val="0"/>
          <w:numId w:val="26"/>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Timelines</w:t>
      </w:r>
      <w:r w:rsidRPr="0085522F">
        <w:rPr>
          <w:rStyle w:val="eop"/>
          <w:rFonts w:ascii="Arial" w:hAnsi="Arial" w:cs="Arial"/>
        </w:rPr>
        <w:t> </w:t>
      </w:r>
    </w:p>
    <w:p w14:paraId="4E51C43D" w14:textId="77777777" w:rsidR="0085522F" w:rsidRPr="0085522F" w:rsidRDefault="0085522F" w:rsidP="0085522F">
      <w:pPr>
        <w:pStyle w:val="paragraph"/>
        <w:numPr>
          <w:ilvl w:val="0"/>
          <w:numId w:val="26"/>
        </w:numPr>
        <w:spacing w:before="0" w:beforeAutospacing="0" w:after="0" w:afterAutospacing="0"/>
        <w:ind w:left="1080" w:firstLine="0"/>
        <w:textAlignment w:val="baseline"/>
        <w:rPr>
          <w:rFonts w:ascii="Arial" w:hAnsi="Arial" w:cs="Arial"/>
        </w:rPr>
      </w:pPr>
      <w:r w:rsidRPr="0085522F">
        <w:rPr>
          <w:rStyle w:val="normaltextrun"/>
          <w:rFonts w:ascii="Arial" w:hAnsi="Arial" w:cs="Arial"/>
        </w:rPr>
        <w:t xml:space="preserve">Appeals </w:t>
      </w:r>
      <w:proofErr w:type="gramStart"/>
      <w:r w:rsidRPr="0085522F">
        <w:rPr>
          <w:rStyle w:val="normaltextrun"/>
          <w:rFonts w:ascii="Arial" w:hAnsi="Arial" w:cs="Arial"/>
        </w:rPr>
        <w:t>processes</w:t>
      </w:r>
      <w:proofErr w:type="gramEnd"/>
      <w:r w:rsidRPr="0085522F">
        <w:rPr>
          <w:rStyle w:val="eop"/>
          <w:rFonts w:ascii="Arial" w:hAnsi="Arial" w:cs="Arial"/>
        </w:rPr>
        <w:t> </w:t>
      </w:r>
    </w:p>
    <w:p w14:paraId="31E23E5D"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4F7F465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 xml:space="preserve">Stage 2 – Pre-assessment/gathering evidence and giving </w:t>
      </w:r>
      <w:proofErr w:type="gramStart"/>
      <w:r w:rsidRPr="0085522F">
        <w:rPr>
          <w:rStyle w:val="normaltextrun"/>
          <w:rFonts w:ascii="Arial" w:hAnsi="Arial" w:cs="Arial"/>
          <w:b/>
          <w:bCs/>
        </w:rPr>
        <w:t>information</w:t>
      </w:r>
      <w:proofErr w:type="gramEnd"/>
      <w:r w:rsidRPr="0085522F">
        <w:rPr>
          <w:rStyle w:val="eop"/>
          <w:rFonts w:ascii="Arial" w:hAnsi="Arial" w:cs="Arial"/>
        </w:rPr>
        <w:t> </w:t>
      </w:r>
    </w:p>
    <w:p w14:paraId="60BA0ED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lastRenderedPageBreak/>
        <w:t>At this stage, the SALT will carry out the process of collecting evidence against the</w:t>
      </w:r>
      <w:r w:rsidRPr="0085522F">
        <w:rPr>
          <w:rStyle w:val="eop"/>
          <w:rFonts w:ascii="Arial" w:hAnsi="Arial" w:cs="Arial"/>
        </w:rPr>
        <w:t> </w:t>
      </w:r>
    </w:p>
    <w:p w14:paraId="5CD7E70E"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requirements of the relevant unit(s). In some cases, the development of an assessment plan and tracking document or similar may be required to support the learner through the process. The evidence gathered will need to meet the standards of the unit, or part of unit, that the evidence is being used for.</w:t>
      </w:r>
      <w:r w:rsidRPr="0085522F">
        <w:rPr>
          <w:rStyle w:val="eop"/>
          <w:rFonts w:ascii="Arial" w:hAnsi="Arial" w:cs="Arial"/>
        </w:rPr>
        <w:t> </w:t>
      </w:r>
    </w:p>
    <w:p w14:paraId="61C7F09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4E655E91"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Stage 3 – Assessment/documentation of evidence</w:t>
      </w:r>
      <w:r w:rsidRPr="0085522F">
        <w:rPr>
          <w:rStyle w:val="eop"/>
          <w:rFonts w:ascii="Arial" w:hAnsi="Arial" w:cs="Arial"/>
        </w:rPr>
        <w:t> </w:t>
      </w:r>
    </w:p>
    <w:p w14:paraId="21E9C3B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Assessment as part of RPL is a structured process for gathering and reviewing evidence and making judgments about a SALTs prior leaning and experience in relation to unit standards. </w:t>
      </w:r>
      <w:r w:rsidRPr="0085522F">
        <w:rPr>
          <w:rStyle w:val="eop"/>
          <w:rFonts w:ascii="Arial" w:hAnsi="Arial" w:cs="Arial"/>
        </w:rPr>
        <w:t> </w:t>
      </w:r>
    </w:p>
    <w:p w14:paraId="2006BBB8"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proxy (assessor) will be looking at work experience records, validated by managers; previous portfolios of evidence put together by the learner or essays and reports validated as being the SALTs own unaided work. Assessment must be valid and reliable to ensure the integrity of the award of credit and, as above, the evidence gathered needs to meet the standards of the unit, or part of the unit, that the evidence is being used for.  </w:t>
      </w:r>
      <w:r w:rsidRPr="0085522F">
        <w:rPr>
          <w:rStyle w:val="eop"/>
          <w:rFonts w:ascii="Arial" w:hAnsi="Arial" w:cs="Arial"/>
        </w:rPr>
        <w:t> </w:t>
      </w:r>
    </w:p>
    <w:p w14:paraId="3D5C5311"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prior achievement that would provide evidence of current knowledge will vary from sector to sector. The proxy must be satisfied that the evidence provided meets the assessment criteria for which it has been submitted and where evidence from prior learning is weak, the receiving assessor must plan further work with the SALT as appropriate.  </w:t>
      </w:r>
      <w:r w:rsidRPr="0085522F">
        <w:rPr>
          <w:rStyle w:val="eop"/>
          <w:rFonts w:ascii="Arial" w:hAnsi="Arial" w:cs="Arial"/>
        </w:rPr>
        <w:t> </w:t>
      </w:r>
    </w:p>
    <w:p w14:paraId="19EB891F"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7BF82AD9"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All prior learning that is submitted as evidence by a SALT must be complemented by a professional discussion to make sure the SALTs knowledge or the application of this knowledge meets the requirements of the assessment criteria.  </w:t>
      </w:r>
      <w:r w:rsidRPr="0085522F">
        <w:rPr>
          <w:rStyle w:val="eop"/>
          <w:rFonts w:ascii="Arial" w:hAnsi="Arial" w:cs="Arial"/>
        </w:rPr>
        <w:t> </w:t>
      </w:r>
    </w:p>
    <w:p w14:paraId="7A90B6B2"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1CBDD236"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assessment process will be subject to the usual quality assurance procedures of the Centre, for example internal standardisation and internal verification as well as the awarding organisations quality assurance procedures.</w:t>
      </w:r>
      <w:r w:rsidRPr="0085522F">
        <w:rPr>
          <w:rStyle w:val="eop"/>
          <w:rFonts w:ascii="Arial" w:hAnsi="Arial" w:cs="Arial"/>
        </w:rPr>
        <w:t> </w:t>
      </w:r>
    </w:p>
    <w:p w14:paraId="39362BB9"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6E38245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 xml:space="preserve">Stage 4 – Claiming </w:t>
      </w:r>
      <w:proofErr w:type="gramStart"/>
      <w:r w:rsidRPr="0085522F">
        <w:rPr>
          <w:rStyle w:val="normaltextrun"/>
          <w:rFonts w:ascii="Arial" w:hAnsi="Arial" w:cs="Arial"/>
          <w:b/>
          <w:bCs/>
        </w:rPr>
        <w:t>certification</w:t>
      </w:r>
      <w:proofErr w:type="gramEnd"/>
      <w:r w:rsidRPr="0085522F">
        <w:rPr>
          <w:rStyle w:val="eop"/>
          <w:rFonts w:ascii="Arial" w:hAnsi="Arial" w:cs="Arial"/>
        </w:rPr>
        <w:t> </w:t>
      </w:r>
    </w:p>
    <w:p w14:paraId="7AD6BFB2"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Once the internal and external quality assurance procedures have been successfully completed, certification claims can be made by the Centre. Assessment and internal verification records, along with any additional RPL records completed, should be retained for the standard for a three-year period following certification.</w:t>
      </w:r>
      <w:r w:rsidRPr="0085522F">
        <w:rPr>
          <w:rStyle w:val="eop"/>
          <w:rFonts w:ascii="Arial" w:hAnsi="Arial" w:cs="Arial"/>
        </w:rPr>
        <w:t> </w:t>
      </w:r>
    </w:p>
    <w:p w14:paraId="1B850262"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58B920A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Stage 5 – Appeal</w:t>
      </w:r>
      <w:r w:rsidRPr="0085522F">
        <w:rPr>
          <w:rStyle w:val="eop"/>
          <w:rFonts w:ascii="Arial" w:hAnsi="Arial" w:cs="Arial"/>
        </w:rPr>
        <w:t> </w:t>
      </w:r>
    </w:p>
    <w:p w14:paraId="512753BB"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A SALT wishing to appeal against a decision made about their assessment will need to refer to the Assessment Policy.</w:t>
      </w:r>
      <w:r w:rsidRPr="0085522F">
        <w:rPr>
          <w:rStyle w:val="eop"/>
          <w:rFonts w:ascii="Arial" w:hAnsi="Arial" w:cs="Arial"/>
        </w:rPr>
        <w:t> </w:t>
      </w:r>
    </w:p>
    <w:p w14:paraId="6CC40054"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364D76B9"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Credit Accumulation and Transfers (CAT)</w:t>
      </w:r>
      <w:r w:rsidRPr="0085522F">
        <w:rPr>
          <w:rStyle w:val="eop"/>
          <w:rFonts w:ascii="Arial" w:hAnsi="Arial" w:cs="Arial"/>
        </w:rPr>
        <w:t> </w:t>
      </w:r>
    </w:p>
    <w:p w14:paraId="54D079BD" w14:textId="7B79CC5A"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Credit accumulation and transfer (CAT) is the system by which SALT</w:t>
      </w:r>
      <w:r w:rsidR="00F27D9D">
        <w:rPr>
          <w:rStyle w:val="normaltextrun"/>
          <w:rFonts w:ascii="Arial" w:hAnsi="Arial" w:cs="Arial"/>
        </w:rPr>
        <w:t>s</w:t>
      </w:r>
      <w:r w:rsidRPr="0085522F">
        <w:rPr>
          <w:rStyle w:val="normaltextrun"/>
          <w:rFonts w:ascii="Arial" w:hAnsi="Arial" w:cs="Arial"/>
        </w:rPr>
        <w:t xml:space="preserve"> can accumulate and transfer credits over </w:t>
      </w:r>
      <w:proofErr w:type="gramStart"/>
      <w:r w:rsidRPr="0085522F">
        <w:rPr>
          <w:rStyle w:val="normaltextrun"/>
          <w:rFonts w:ascii="Arial" w:hAnsi="Arial" w:cs="Arial"/>
        </w:rPr>
        <w:t>a period of time</w:t>
      </w:r>
      <w:proofErr w:type="gramEnd"/>
      <w:r w:rsidRPr="0085522F">
        <w:rPr>
          <w:rStyle w:val="normaltextrun"/>
          <w:rFonts w:ascii="Arial" w:hAnsi="Arial" w:cs="Arial"/>
        </w:rPr>
        <w:t xml:space="preserve">, in differing locations and contexts, in order to gain qualifications. Credit transfer is the process of using credit(s) awarded in the context of one qualification or awarded by a different awarding organisation towards the achievement requirements of another qualification.  CAT should be considered as a separate process to RPL as CAT </w:t>
      </w:r>
      <w:r w:rsidRPr="0085522F">
        <w:rPr>
          <w:rStyle w:val="normaltextrun"/>
          <w:rFonts w:ascii="Arial" w:hAnsi="Arial" w:cs="Arial"/>
        </w:rPr>
        <w:lastRenderedPageBreak/>
        <w:t>applies to learning that has been previously certified for a different regulated qualification or from a different Awarding Organisation on the same framework (RQF or QCF). This is to prevent a SALT from having to unnecessarily repeat previous learning.</w:t>
      </w:r>
      <w:r w:rsidRPr="0085522F">
        <w:rPr>
          <w:rStyle w:val="eop"/>
          <w:rFonts w:ascii="Arial" w:hAnsi="Arial" w:cs="Arial"/>
        </w:rPr>
        <w:t> </w:t>
      </w:r>
    </w:p>
    <w:p w14:paraId="5CDB1C07"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When a SALT believes they are eligible for CAT the centre will confirm their eligibility by...</w:t>
      </w:r>
      <w:r w:rsidRPr="0085522F">
        <w:rPr>
          <w:rStyle w:val="eop"/>
          <w:rFonts w:ascii="Arial" w:hAnsi="Arial" w:cs="Arial"/>
        </w:rPr>
        <w:t> </w:t>
      </w:r>
    </w:p>
    <w:p w14:paraId="5CCF269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Stage 1 – Confirmation of unit/qualification completion</w:t>
      </w:r>
      <w:r w:rsidRPr="0085522F">
        <w:rPr>
          <w:rStyle w:val="eop"/>
          <w:rFonts w:ascii="Arial" w:hAnsi="Arial" w:cs="Arial"/>
        </w:rPr>
        <w:t> </w:t>
      </w:r>
    </w:p>
    <w:p w14:paraId="1209285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The SALT will provide the centre copy(s) of the certificates relating to the unit or qualification to be considered for CAT.</w:t>
      </w:r>
      <w:r w:rsidRPr="0085522F">
        <w:rPr>
          <w:rStyle w:val="eop"/>
          <w:rFonts w:ascii="Arial" w:hAnsi="Arial" w:cs="Arial"/>
        </w:rPr>
        <w:t> </w:t>
      </w:r>
    </w:p>
    <w:p w14:paraId="045E044D"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Stage 2 – Centre confirmation of eligibility for CAT.</w:t>
      </w:r>
      <w:r w:rsidRPr="0085522F">
        <w:rPr>
          <w:rStyle w:val="eop"/>
          <w:rFonts w:ascii="Arial" w:hAnsi="Arial" w:cs="Arial"/>
        </w:rPr>
        <w:t> </w:t>
      </w:r>
    </w:p>
    <w:p w14:paraId="25D7BE43"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 xml:space="preserve">The centre will confirm with the awarding organisation that CAT is available for the completed units/qualifications and are nested within the qualification being undertaken.  For example:  Where a SALT has achieved the NCFE Level 4 Award in the Internal Quality Assurance of Assessment Processes and Practice (QN: 501/0889/X) unit 01 and 02 must be achieved.  To achieve the NCFE Level 4 Certificate in Leading the Internal Quality Assurance of Assessment Processes and Practice (QN: 501/0890/6), the additional unit 03 </w:t>
      </w:r>
      <w:proofErr w:type="gramStart"/>
      <w:r w:rsidRPr="0085522F">
        <w:rPr>
          <w:rStyle w:val="normaltextrun"/>
          <w:rFonts w:ascii="Arial" w:hAnsi="Arial" w:cs="Arial"/>
        </w:rPr>
        <w:t>has to</w:t>
      </w:r>
      <w:proofErr w:type="gramEnd"/>
      <w:r w:rsidRPr="0085522F">
        <w:rPr>
          <w:rStyle w:val="normaltextrun"/>
          <w:rFonts w:ascii="Arial" w:hAnsi="Arial" w:cs="Arial"/>
        </w:rPr>
        <w:t xml:space="preserve"> be achieved.  Therefore, a SALT may be eligible to CAT unit 01 and unit 02 in the achievement of the level 4 certificate. Once confirmation of eligibility of CAT has been received the centre will claim the achieved qualification following the awarding organisations procedures.</w:t>
      </w:r>
      <w:r w:rsidRPr="0085522F">
        <w:rPr>
          <w:rStyle w:val="eop"/>
          <w:rFonts w:ascii="Arial" w:hAnsi="Arial" w:cs="Arial"/>
        </w:rPr>
        <w:t> </w:t>
      </w:r>
    </w:p>
    <w:p w14:paraId="60AAE45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Records of CAT will be kept in line with the centre and awarding organisations policies and procedures.  </w:t>
      </w:r>
      <w:r w:rsidRPr="0085522F">
        <w:rPr>
          <w:rStyle w:val="eop"/>
          <w:rFonts w:ascii="Arial" w:hAnsi="Arial" w:cs="Arial"/>
        </w:rPr>
        <w:t> </w:t>
      </w:r>
    </w:p>
    <w:p w14:paraId="28EC6E6B" w14:textId="1C52CE10"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1154CF59"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7DA33FF4"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rPr>
        <w:t> </w:t>
      </w:r>
    </w:p>
    <w:p w14:paraId="7AD95D70" w14:textId="77777777" w:rsidR="0085522F" w:rsidRPr="0085522F" w:rsidRDefault="0085522F" w:rsidP="0085522F">
      <w:pPr>
        <w:pStyle w:val="paragraph"/>
        <w:spacing w:before="0" w:beforeAutospacing="0" w:after="0" w:afterAutospacing="0"/>
        <w:jc w:val="both"/>
        <w:textAlignment w:val="baseline"/>
        <w:rPr>
          <w:rFonts w:ascii="Arial" w:hAnsi="Arial" w:cs="Arial"/>
        </w:rPr>
      </w:pPr>
      <w:r w:rsidRPr="0085522F">
        <w:rPr>
          <w:rStyle w:val="normaltextrun"/>
          <w:rFonts w:ascii="Arial" w:hAnsi="Arial" w:cs="Arial"/>
          <w:b/>
          <w:bCs/>
        </w:rPr>
        <w:t>Appendix 2 - Higher Education Courses</w:t>
      </w:r>
      <w:r w:rsidRPr="0085522F">
        <w:rPr>
          <w:rStyle w:val="eop"/>
          <w:rFonts w:ascii="Arial" w:hAnsi="Arial" w:cs="Arial"/>
        </w:rPr>
        <w:t> </w:t>
      </w:r>
    </w:p>
    <w:p w14:paraId="7FE27DCE"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Foundation Degree, BA Professional Practice and Somerset SCITT</w:t>
      </w:r>
      <w:r w:rsidRPr="0085522F">
        <w:rPr>
          <w:rStyle w:val="eop"/>
          <w:rFonts w:ascii="Arial" w:hAnsi="Arial" w:cs="Arial"/>
        </w:rPr>
        <w:t> </w:t>
      </w:r>
    </w:p>
    <w:p w14:paraId="2F014C3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rPr>
        <w:t>If a SALT on one of the above courses believes they have appropriate prior learning they would like to claim RPL for, SCIL will follow the University of Worcester policies relating to the Recognition of Prior Learning, which can be found on the University of Worcester Registry webpage (link below).</w:t>
      </w:r>
      <w:r w:rsidRPr="0085522F">
        <w:rPr>
          <w:rStyle w:val="eop"/>
          <w:rFonts w:ascii="Arial" w:hAnsi="Arial" w:cs="Arial"/>
        </w:rPr>
        <w:t> </w:t>
      </w:r>
    </w:p>
    <w:p w14:paraId="5FD67223" w14:textId="77777777" w:rsidR="0085522F" w:rsidRPr="0085522F" w:rsidRDefault="0085522F" w:rsidP="0085522F">
      <w:pPr>
        <w:pStyle w:val="paragraph"/>
        <w:spacing w:before="0" w:beforeAutospacing="0" w:after="0" w:afterAutospacing="0"/>
        <w:ind w:left="-285"/>
        <w:textAlignment w:val="baseline"/>
        <w:rPr>
          <w:rFonts w:ascii="Arial" w:hAnsi="Arial" w:cs="Arial"/>
        </w:rPr>
      </w:pPr>
      <w:r w:rsidRPr="0085522F">
        <w:rPr>
          <w:rStyle w:val="eop"/>
          <w:rFonts w:ascii="Arial" w:hAnsi="Arial" w:cs="Arial"/>
        </w:rPr>
        <w:t> </w:t>
      </w:r>
    </w:p>
    <w:p w14:paraId="40E58879" w14:textId="77777777" w:rsidR="0085522F" w:rsidRPr="0085522F" w:rsidRDefault="0085522F" w:rsidP="0085522F">
      <w:pPr>
        <w:pStyle w:val="paragraph"/>
        <w:spacing w:before="0" w:beforeAutospacing="0" w:after="0" w:afterAutospacing="0"/>
        <w:ind w:left="-285"/>
        <w:textAlignment w:val="baseline"/>
        <w:rPr>
          <w:rFonts w:ascii="Arial" w:hAnsi="Arial" w:cs="Arial"/>
        </w:rPr>
      </w:pPr>
      <w:hyperlink r:id="rId13" w:tgtFrame="_blank" w:history="1">
        <w:r w:rsidRPr="0085522F">
          <w:rPr>
            <w:rStyle w:val="normaltextrun"/>
            <w:rFonts w:ascii="Arial" w:hAnsi="Arial" w:cs="Arial"/>
            <w:color w:val="0000FF"/>
            <w:u w:val="single"/>
          </w:rPr>
          <w:t>ProceduresfortheRecognitionofPriorLearning.pdf (worc.ac.uk)</w:t>
        </w:r>
      </w:hyperlink>
      <w:r w:rsidRPr="0085522F">
        <w:rPr>
          <w:rStyle w:val="eop"/>
          <w:rFonts w:ascii="Arial" w:hAnsi="Arial" w:cs="Arial"/>
        </w:rPr>
        <w:t> </w:t>
      </w:r>
    </w:p>
    <w:p w14:paraId="40B1690B" w14:textId="77777777" w:rsidR="0085522F" w:rsidRPr="0085522F" w:rsidRDefault="0085522F" w:rsidP="0085522F">
      <w:pPr>
        <w:pStyle w:val="paragraph"/>
        <w:spacing w:before="0" w:beforeAutospacing="0" w:after="0" w:afterAutospacing="0"/>
        <w:ind w:left="-285"/>
        <w:textAlignment w:val="baseline"/>
        <w:rPr>
          <w:rFonts w:ascii="Arial" w:hAnsi="Arial" w:cs="Arial"/>
        </w:rPr>
      </w:pPr>
      <w:r w:rsidRPr="0085522F">
        <w:rPr>
          <w:rStyle w:val="eop"/>
          <w:rFonts w:ascii="Arial" w:hAnsi="Arial" w:cs="Arial"/>
        </w:rPr>
        <w:t> </w:t>
      </w:r>
    </w:p>
    <w:p w14:paraId="711791BA" w14:textId="77777777" w:rsidR="0085522F" w:rsidRPr="0085522F" w:rsidRDefault="0085522F" w:rsidP="0085522F">
      <w:pPr>
        <w:pStyle w:val="paragraph"/>
        <w:spacing w:before="0" w:beforeAutospacing="0" w:after="0" w:afterAutospacing="0"/>
        <w:ind w:left="-285"/>
        <w:textAlignment w:val="baseline"/>
        <w:rPr>
          <w:rFonts w:ascii="Arial" w:hAnsi="Arial" w:cs="Arial"/>
        </w:rPr>
      </w:pPr>
      <w:r w:rsidRPr="0085522F">
        <w:rPr>
          <w:rStyle w:val="eop"/>
          <w:rFonts w:ascii="Arial" w:hAnsi="Arial" w:cs="Arial"/>
        </w:rPr>
        <w:t> </w:t>
      </w:r>
    </w:p>
    <w:p w14:paraId="303E7865" w14:textId="77777777" w:rsidR="0085522F" w:rsidRPr="0085522F" w:rsidRDefault="0085522F" w:rsidP="0085522F">
      <w:pPr>
        <w:pStyle w:val="paragraph"/>
        <w:spacing w:before="0" w:beforeAutospacing="0" w:after="0" w:afterAutospacing="0"/>
        <w:ind w:left="-285"/>
        <w:textAlignment w:val="baseline"/>
        <w:rPr>
          <w:rFonts w:ascii="Arial" w:hAnsi="Arial" w:cs="Arial"/>
        </w:rPr>
      </w:pPr>
      <w:r w:rsidRPr="0085522F">
        <w:rPr>
          <w:rStyle w:val="eop"/>
          <w:rFonts w:ascii="Arial" w:hAnsi="Arial" w:cs="Arial"/>
        </w:rPr>
        <w:t> </w:t>
      </w:r>
    </w:p>
    <w:p w14:paraId="679D7CDA" w14:textId="77777777" w:rsidR="0085522F" w:rsidRPr="0085522F" w:rsidRDefault="0085522F" w:rsidP="0085522F">
      <w:pPr>
        <w:pStyle w:val="paragraph"/>
        <w:spacing w:before="0" w:beforeAutospacing="0" w:after="0" w:afterAutospacing="0"/>
        <w:ind w:left="-285"/>
        <w:textAlignment w:val="baseline"/>
        <w:rPr>
          <w:rFonts w:ascii="Arial" w:hAnsi="Arial" w:cs="Arial"/>
        </w:rPr>
      </w:pPr>
      <w:r w:rsidRPr="0085522F">
        <w:rPr>
          <w:rStyle w:val="eop"/>
          <w:rFonts w:ascii="Arial" w:hAnsi="Arial" w:cs="Arial"/>
        </w:rPr>
        <w:t> </w:t>
      </w:r>
    </w:p>
    <w:p w14:paraId="1FCB9FF3"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rPr>
        <w:t>Appendix 3 – Apprenticeships </w:t>
      </w:r>
      <w:r w:rsidRPr="0085522F">
        <w:rPr>
          <w:rStyle w:val="eop"/>
          <w:rFonts w:ascii="Arial" w:hAnsi="Arial" w:cs="Arial"/>
        </w:rPr>
        <w:t> </w:t>
      </w:r>
    </w:p>
    <w:p w14:paraId="61C3DE34"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1. Initial assessment</w:t>
      </w:r>
      <w:r w:rsidRPr="0085522F">
        <w:rPr>
          <w:rStyle w:val="eop"/>
          <w:rFonts w:ascii="Arial" w:hAnsi="Arial" w:cs="Arial"/>
          <w:color w:val="0B0C0C"/>
        </w:rPr>
        <w:t> </w:t>
      </w:r>
    </w:p>
    <w:p w14:paraId="3230622F"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Before an apprenticeship begins, the main training provider must assess the individual’s prior learning to establish the ‘starting point’, or baseline, of the apprentice. Initial assessment checks that the apprenticeship is an appropriate programme for the individual. The initial assessment checks how much of the apprenticeship programme the individual requires to reach occupational competency. The main training provider is responsible for doing the initial assessment.</w:t>
      </w:r>
      <w:r w:rsidRPr="0085522F">
        <w:rPr>
          <w:rStyle w:val="eop"/>
          <w:rFonts w:ascii="Arial" w:hAnsi="Arial" w:cs="Arial"/>
          <w:color w:val="0B0C0C"/>
        </w:rPr>
        <w:t> </w:t>
      </w:r>
    </w:p>
    <w:p w14:paraId="05337121"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2. What counts as prior learning?</w:t>
      </w:r>
      <w:r w:rsidRPr="0085522F">
        <w:rPr>
          <w:rStyle w:val="eop"/>
          <w:rFonts w:ascii="Arial" w:hAnsi="Arial" w:cs="Arial"/>
          <w:color w:val="0B0C0C"/>
        </w:rPr>
        <w:t> </w:t>
      </w:r>
    </w:p>
    <w:p w14:paraId="2187C07A"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lastRenderedPageBreak/>
        <w:t>In recognising prior learning, the following should be considered against the knowledge, skills and behaviours set out in the standard or framework:</w:t>
      </w:r>
      <w:r w:rsidRPr="0085522F">
        <w:rPr>
          <w:rStyle w:val="eop"/>
          <w:rFonts w:ascii="Arial" w:hAnsi="Arial" w:cs="Arial"/>
          <w:color w:val="0B0C0C"/>
        </w:rPr>
        <w:t> </w:t>
      </w:r>
    </w:p>
    <w:p w14:paraId="6FEFD8B7" w14:textId="77777777" w:rsidR="0085522F" w:rsidRPr="0085522F" w:rsidRDefault="0085522F" w:rsidP="0085522F">
      <w:pPr>
        <w:pStyle w:val="paragraph"/>
        <w:numPr>
          <w:ilvl w:val="0"/>
          <w:numId w:val="27"/>
        </w:numPr>
        <w:spacing w:before="0" w:beforeAutospacing="0" w:after="0" w:afterAutospacing="0"/>
        <w:ind w:left="660" w:firstLine="0"/>
        <w:textAlignment w:val="baseline"/>
        <w:rPr>
          <w:rFonts w:ascii="Arial" w:hAnsi="Arial" w:cs="Arial"/>
        </w:rPr>
      </w:pPr>
      <w:r w:rsidRPr="0085522F">
        <w:rPr>
          <w:rStyle w:val="normaltextrun"/>
          <w:rFonts w:ascii="Arial" w:hAnsi="Arial" w:cs="Arial"/>
          <w:color w:val="0B0C0C"/>
        </w:rPr>
        <w:t>Work experience (this is particularly important if the apprentice is an existing employee</w:t>
      </w:r>
      <w:proofErr w:type="gramStart"/>
      <w:r w:rsidRPr="0085522F">
        <w:rPr>
          <w:rStyle w:val="normaltextrun"/>
          <w:rFonts w:ascii="Arial" w:hAnsi="Arial" w:cs="Arial"/>
          <w:color w:val="0B0C0C"/>
        </w:rPr>
        <w:t>);</w:t>
      </w:r>
      <w:proofErr w:type="gramEnd"/>
      <w:r w:rsidRPr="0085522F">
        <w:rPr>
          <w:rStyle w:val="eop"/>
          <w:rFonts w:ascii="Arial" w:hAnsi="Arial" w:cs="Arial"/>
          <w:color w:val="0B0C0C"/>
        </w:rPr>
        <w:t> </w:t>
      </w:r>
    </w:p>
    <w:p w14:paraId="5F59E0DC" w14:textId="77777777" w:rsidR="0085522F" w:rsidRPr="0085522F" w:rsidRDefault="0085522F" w:rsidP="0085522F">
      <w:pPr>
        <w:pStyle w:val="paragraph"/>
        <w:numPr>
          <w:ilvl w:val="0"/>
          <w:numId w:val="27"/>
        </w:numPr>
        <w:spacing w:before="0" w:beforeAutospacing="0" w:after="0" w:afterAutospacing="0"/>
        <w:ind w:left="660" w:firstLine="0"/>
        <w:textAlignment w:val="baseline"/>
        <w:rPr>
          <w:rFonts w:ascii="Arial" w:hAnsi="Arial" w:cs="Arial"/>
        </w:rPr>
      </w:pPr>
      <w:r w:rsidRPr="0085522F">
        <w:rPr>
          <w:rStyle w:val="normaltextrun"/>
          <w:rFonts w:ascii="Arial" w:hAnsi="Arial" w:cs="Arial"/>
          <w:color w:val="0B0C0C"/>
        </w:rPr>
        <w:t xml:space="preserve">Prior education, </w:t>
      </w:r>
      <w:proofErr w:type="gramStart"/>
      <w:r w:rsidRPr="0085522F">
        <w:rPr>
          <w:rStyle w:val="normaltextrun"/>
          <w:rFonts w:ascii="Arial" w:hAnsi="Arial" w:cs="Arial"/>
          <w:color w:val="0B0C0C"/>
        </w:rPr>
        <w:t>training</w:t>
      </w:r>
      <w:proofErr w:type="gramEnd"/>
      <w:r w:rsidRPr="0085522F">
        <w:rPr>
          <w:rStyle w:val="normaltextrun"/>
          <w:rFonts w:ascii="Arial" w:hAnsi="Arial" w:cs="Arial"/>
          <w:color w:val="0B0C0C"/>
        </w:rPr>
        <w:t xml:space="preserve"> or associated qualification(s) in a related sector subject area (this goes beyond just English and maths); and</w:t>
      </w:r>
      <w:r w:rsidRPr="0085522F">
        <w:rPr>
          <w:rStyle w:val="eop"/>
          <w:rFonts w:ascii="Arial" w:hAnsi="Arial" w:cs="Arial"/>
          <w:color w:val="0B0C0C"/>
        </w:rPr>
        <w:t> </w:t>
      </w:r>
    </w:p>
    <w:p w14:paraId="161445D8" w14:textId="77777777" w:rsidR="0085522F" w:rsidRPr="0085522F" w:rsidRDefault="0085522F" w:rsidP="0085522F">
      <w:pPr>
        <w:pStyle w:val="paragraph"/>
        <w:numPr>
          <w:ilvl w:val="0"/>
          <w:numId w:val="27"/>
        </w:numPr>
        <w:spacing w:before="0" w:beforeAutospacing="0" w:after="0" w:afterAutospacing="0"/>
        <w:ind w:left="660" w:firstLine="0"/>
        <w:textAlignment w:val="baseline"/>
        <w:rPr>
          <w:rFonts w:ascii="Arial" w:hAnsi="Arial" w:cs="Arial"/>
        </w:rPr>
      </w:pPr>
      <w:r w:rsidRPr="0085522F">
        <w:rPr>
          <w:rStyle w:val="normaltextrun"/>
          <w:rFonts w:ascii="Arial" w:hAnsi="Arial" w:cs="Arial"/>
          <w:color w:val="0B0C0C"/>
        </w:rPr>
        <w:t xml:space="preserve">Any previous apprenticeship </w:t>
      </w:r>
      <w:proofErr w:type="gramStart"/>
      <w:r w:rsidRPr="0085522F">
        <w:rPr>
          <w:rStyle w:val="normaltextrun"/>
          <w:rFonts w:ascii="Arial" w:hAnsi="Arial" w:cs="Arial"/>
          <w:color w:val="0B0C0C"/>
        </w:rPr>
        <w:t>undertaken</w:t>
      </w:r>
      <w:proofErr w:type="gramEnd"/>
      <w:r w:rsidRPr="0085522F">
        <w:rPr>
          <w:rStyle w:val="eop"/>
          <w:rFonts w:ascii="Arial" w:hAnsi="Arial" w:cs="Arial"/>
          <w:color w:val="0B0C0C"/>
        </w:rPr>
        <w:t> </w:t>
      </w:r>
    </w:p>
    <w:p w14:paraId="22C834DB" w14:textId="77777777" w:rsidR="0085522F" w:rsidRPr="0085522F" w:rsidRDefault="0085522F" w:rsidP="0085522F">
      <w:pPr>
        <w:pStyle w:val="paragraph"/>
        <w:spacing w:before="0" w:beforeAutospacing="0" w:after="0" w:afterAutospacing="0"/>
        <w:ind w:left="-60"/>
        <w:textAlignment w:val="baseline"/>
        <w:rPr>
          <w:rFonts w:ascii="Arial" w:hAnsi="Arial" w:cs="Arial"/>
        </w:rPr>
      </w:pPr>
      <w:r w:rsidRPr="0085522F">
        <w:rPr>
          <w:rStyle w:val="eop"/>
          <w:rFonts w:ascii="Arial" w:hAnsi="Arial" w:cs="Arial"/>
          <w:color w:val="0B0C0C"/>
        </w:rPr>
        <w:t> </w:t>
      </w:r>
    </w:p>
    <w:p w14:paraId="75A070AD"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3. How is prior learning assessed?</w:t>
      </w:r>
      <w:r w:rsidRPr="0085522F">
        <w:rPr>
          <w:rStyle w:val="eop"/>
          <w:rFonts w:ascii="Arial" w:hAnsi="Arial" w:cs="Arial"/>
          <w:color w:val="0B0C0C"/>
        </w:rPr>
        <w:t> </w:t>
      </w:r>
    </w:p>
    <w:p w14:paraId="270F82C1"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 xml:space="preserve">ESFA does not mandate how a provider assesses or determines prior learning, just that it must be </w:t>
      </w:r>
      <w:proofErr w:type="gramStart"/>
      <w:r w:rsidRPr="0085522F">
        <w:rPr>
          <w:rStyle w:val="normaltextrun"/>
          <w:rFonts w:ascii="Arial" w:hAnsi="Arial" w:cs="Arial"/>
          <w:color w:val="0B0C0C"/>
        </w:rPr>
        <w:t>done</w:t>
      </w:r>
      <w:proofErr w:type="gramEnd"/>
      <w:r w:rsidRPr="0085522F">
        <w:rPr>
          <w:rStyle w:val="normaltextrun"/>
          <w:rFonts w:ascii="Arial" w:hAnsi="Arial" w:cs="Arial"/>
          <w:color w:val="0B0C0C"/>
        </w:rPr>
        <w:t xml:space="preserve"> and the findings taken account of. The relevant apprenticeship framework or standard should normally be used as the basis for initial assessment.</w:t>
      </w:r>
      <w:r w:rsidRPr="0085522F">
        <w:rPr>
          <w:rStyle w:val="eop"/>
          <w:rFonts w:ascii="Arial" w:hAnsi="Arial" w:cs="Arial"/>
          <w:color w:val="0B0C0C"/>
        </w:rPr>
        <w:t> </w:t>
      </w:r>
    </w:p>
    <w:p w14:paraId="1917DACA"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4. How should prior learning be recorded?</w:t>
      </w:r>
      <w:r w:rsidRPr="0085522F">
        <w:rPr>
          <w:rStyle w:val="eop"/>
          <w:rFonts w:ascii="Arial" w:hAnsi="Arial" w:cs="Arial"/>
          <w:color w:val="0B0C0C"/>
        </w:rPr>
        <w:t> </w:t>
      </w:r>
    </w:p>
    <w:p w14:paraId="43314575"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The ESFA does not mandate how prior learning should be recorded, only that the initial assessment must be documented in the evidence pack and summarised on the commitment statement. </w:t>
      </w:r>
      <w:r w:rsidRPr="0085522F">
        <w:rPr>
          <w:rStyle w:val="eop"/>
          <w:rFonts w:ascii="Arial" w:hAnsi="Arial" w:cs="Arial"/>
          <w:color w:val="0B0C0C"/>
        </w:rPr>
        <w:t> </w:t>
      </w:r>
    </w:p>
    <w:p w14:paraId="54427DAF"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5. How does recognition of prior learning feed into funding negotiations?</w:t>
      </w:r>
      <w:r w:rsidRPr="0085522F">
        <w:rPr>
          <w:rStyle w:val="eop"/>
          <w:rFonts w:ascii="Arial" w:hAnsi="Arial" w:cs="Arial"/>
          <w:color w:val="0B0C0C"/>
        </w:rPr>
        <w:t> </w:t>
      </w:r>
    </w:p>
    <w:p w14:paraId="15DC76CC"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 xml:space="preserve">The funding band of the apprenticeship is based on an apprentice requiring the full content of the apprenticeship, and in the case of standards this means all the listed knowledge, </w:t>
      </w:r>
      <w:proofErr w:type="gramStart"/>
      <w:r w:rsidRPr="0085522F">
        <w:rPr>
          <w:rStyle w:val="normaltextrun"/>
          <w:rFonts w:ascii="Arial" w:hAnsi="Arial" w:cs="Arial"/>
          <w:color w:val="0B0C0C"/>
        </w:rPr>
        <w:t>skills</w:t>
      </w:r>
      <w:proofErr w:type="gramEnd"/>
      <w:r w:rsidRPr="0085522F">
        <w:rPr>
          <w:rStyle w:val="normaltextrun"/>
          <w:rFonts w:ascii="Arial" w:hAnsi="Arial" w:cs="Arial"/>
          <w:color w:val="0B0C0C"/>
        </w:rPr>
        <w:t xml:space="preserve"> and behaviours. A negotiation between training provider and the employer will take place should prior learning be applicable,</w:t>
      </w:r>
      <w:r w:rsidRPr="0085522F">
        <w:rPr>
          <w:rStyle w:val="eop"/>
          <w:rFonts w:ascii="Arial" w:hAnsi="Arial" w:cs="Arial"/>
          <w:color w:val="0B0C0C"/>
        </w:rPr>
        <w:t> </w:t>
      </w:r>
    </w:p>
    <w:p w14:paraId="45C629E1"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eop"/>
          <w:rFonts w:ascii="Arial" w:hAnsi="Arial" w:cs="Arial"/>
          <w:color w:val="0B0C0C"/>
        </w:rPr>
        <w:t> </w:t>
      </w:r>
    </w:p>
    <w:p w14:paraId="5E41784D"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6. How does this all link to a 12-month minimum duration and off-the-job training?</w:t>
      </w:r>
      <w:r w:rsidRPr="0085522F">
        <w:rPr>
          <w:rStyle w:val="eop"/>
          <w:rFonts w:ascii="Arial" w:hAnsi="Arial" w:cs="Arial"/>
          <w:color w:val="0B0C0C"/>
        </w:rPr>
        <w:t> </w:t>
      </w:r>
    </w:p>
    <w:p w14:paraId="10B0FA77"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Where there is prior learning, the content and duration of the apprenticeship must be reduced to reflect this. The new (reduced) duration must still meet the minimum threshold of 12 months.</w:t>
      </w:r>
      <w:r w:rsidRPr="0085522F">
        <w:rPr>
          <w:rStyle w:val="eop"/>
          <w:rFonts w:ascii="Arial" w:hAnsi="Arial" w:cs="Arial"/>
          <w:color w:val="0B0C0C"/>
        </w:rPr>
        <w:t> </w:t>
      </w:r>
    </w:p>
    <w:p w14:paraId="70856E8F"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b/>
          <w:bCs/>
          <w:color w:val="0B0C0C"/>
        </w:rPr>
        <w:t xml:space="preserve">7. How is recognition of prior learning </w:t>
      </w:r>
      <w:proofErr w:type="gramStart"/>
      <w:r w:rsidRPr="0085522F">
        <w:rPr>
          <w:rStyle w:val="normaltextrun"/>
          <w:rFonts w:ascii="Arial" w:hAnsi="Arial" w:cs="Arial"/>
          <w:b/>
          <w:bCs/>
          <w:color w:val="0B0C0C"/>
        </w:rPr>
        <w:t>taken into account</w:t>
      </w:r>
      <w:proofErr w:type="gramEnd"/>
      <w:r w:rsidRPr="0085522F">
        <w:rPr>
          <w:rStyle w:val="normaltextrun"/>
          <w:rFonts w:ascii="Arial" w:hAnsi="Arial" w:cs="Arial"/>
          <w:b/>
          <w:bCs/>
          <w:color w:val="0B0C0C"/>
        </w:rPr>
        <w:t xml:space="preserve"> when applying to be on the Register of Apprenticeship Training Providers?</w:t>
      </w:r>
      <w:r w:rsidRPr="0085522F">
        <w:rPr>
          <w:rStyle w:val="eop"/>
          <w:rFonts w:ascii="Arial" w:hAnsi="Arial" w:cs="Arial"/>
          <w:color w:val="0B0C0C"/>
        </w:rPr>
        <w:t> </w:t>
      </w:r>
    </w:p>
    <w:p w14:paraId="49EF6127" w14:textId="77777777" w:rsidR="0085522F" w:rsidRPr="0085522F" w:rsidRDefault="0085522F" w:rsidP="0085522F">
      <w:pPr>
        <w:pStyle w:val="paragraph"/>
        <w:spacing w:before="0" w:beforeAutospacing="0" w:after="0" w:afterAutospacing="0"/>
        <w:textAlignment w:val="baseline"/>
        <w:rPr>
          <w:rFonts w:ascii="Arial" w:hAnsi="Arial" w:cs="Arial"/>
        </w:rPr>
      </w:pPr>
      <w:r w:rsidRPr="0085522F">
        <w:rPr>
          <w:rStyle w:val="normaltextrun"/>
          <w:rFonts w:ascii="Arial" w:hAnsi="Arial" w:cs="Arial"/>
          <w:color w:val="0B0C0C"/>
        </w:rPr>
        <w:t>ESFA apprenticeship funding rules require main training providers and employer providers to take account of prior learning. As part of the Register of Apprenticeship Training Providers (</w:t>
      </w:r>
      <w:proofErr w:type="spellStart"/>
      <w:r w:rsidRPr="0085522F">
        <w:rPr>
          <w:rStyle w:val="normaltextrun"/>
          <w:rFonts w:ascii="Arial" w:hAnsi="Arial" w:cs="Arial"/>
          <w:color w:val="0B0C0C"/>
        </w:rPr>
        <w:t>RoATP</w:t>
      </w:r>
      <w:proofErr w:type="spellEnd"/>
      <w:r w:rsidRPr="0085522F">
        <w:rPr>
          <w:rStyle w:val="normaltextrun"/>
          <w:rFonts w:ascii="Arial" w:hAnsi="Arial" w:cs="Arial"/>
          <w:color w:val="0B0C0C"/>
        </w:rPr>
        <w:t>) application processes, main providers and employer providers must submit their policy on how they will perform initial assessments of apprentices’ prior learning.</w:t>
      </w:r>
      <w:r w:rsidRPr="0085522F">
        <w:rPr>
          <w:rStyle w:val="eop"/>
          <w:rFonts w:ascii="Arial" w:hAnsi="Arial" w:cs="Arial"/>
          <w:color w:val="0B0C0C"/>
        </w:rPr>
        <w:t> </w:t>
      </w:r>
    </w:p>
    <w:p w14:paraId="72D1AE3D" w14:textId="77777777" w:rsidR="0085522F" w:rsidRPr="00274B82" w:rsidRDefault="0085522F" w:rsidP="0085522F">
      <w:pPr>
        <w:autoSpaceDE w:val="0"/>
        <w:autoSpaceDN w:val="0"/>
        <w:adjustRightInd w:val="0"/>
        <w:rPr>
          <w:rFonts w:ascii="Arial" w:hAnsi="Arial" w:cs="Arial"/>
          <w:sz w:val="24"/>
          <w:szCs w:val="24"/>
        </w:rPr>
      </w:pPr>
    </w:p>
    <w:sectPr w:rsidR="0085522F" w:rsidRPr="00274B82" w:rsidSect="00541401">
      <w:headerReference w:type="default" r:id="rId14"/>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71EF" w14:textId="77777777" w:rsidR="00AC527E" w:rsidRDefault="00AC527E" w:rsidP="00222A6E">
      <w:pPr>
        <w:spacing w:after="0" w:line="240" w:lineRule="auto"/>
      </w:pPr>
      <w:r>
        <w:separator/>
      </w:r>
    </w:p>
  </w:endnote>
  <w:endnote w:type="continuationSeparator" w:id="0">
    <w:p w14:paraId="182E62E2" w14:textId="77777777" w:rsidR="00AC527E" w:rsidRDefault="00AC527E" w:rsidP="00222A6E">
      <w:pPr>
        <w:spacing w:after="0" w:line="240" w:lineRule="auto"/>
      </w:pPr>
      <w:r>
        <w:continuationSeparator/>
      </w:r>
    </w:p>
  </w:endnote>
  <w:endnote w:type="continuationNotice" w:id="1">
    <w:p w14:paraId="40EAB550" w14:textId="77777777" w:rsidR="00AC527E" w:rsidRDefault="00AC5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288233B6"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5522F">
                            <w:rPr>
                              <w:rFonts w:ascii="Arial" w:hAnsi="Arial" w:cs="Arial"/>
                              <w:b/>
                              <w:bCs/>
                              <w:color w:val="FFFFFF" w:themeColor="background1"/>
                            </w:rPr>
                            <w:t>November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288233B6"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5522F">
                      <w:rPr>
                        <w:rFonts w:ascii="Arial" w:hAnsi="Arial" w:cs="Arial"/>
                        <w:b/>
                        <w:bCs/>
                        <w:color w:val="FFFFFF" w:themeColor="background1"/>
                      </w:rPr>
                      <w:t>November 2022</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D641" w14:textId="77777777" w:rsidR="00AC527E" w:rsidRDefault="00AC527E" w:rsidP="00222A6E">
      <w:pPr>
        <w:spacing w:after="0" w:line="240" w:lineRule="auto"/>
      </w:pPr>
      <w:r>
        <w:separator/>
      </w:r>
    </w:p>
  </w:footnote>
  <w:footnote w:type="continuationSeparator" w:id="0">
    <w:p w14:paraId="2A337EC7" w14:textId="77777777" w:rsidR="00AC527E" w:rsidRDefault="00AC527E" w:rsidP="00222A6E">
      <w:pPr>
        <w:spacing w:after="0" w:line="240" w:lineRule="auto"/>
      </w:pPr>
      <w:r>
        <w:continuationSeparator/>
      </w:r>
    </w:p>
  </w:footnote>
  <w:footnote w:type="continuationNotice" w:id="1">
    <w:p w14:paraId="73C59F9A" w14:textId="77777777" w:rsidR="00AC527E" w:rsidRDefault="00AC5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A7AF5"/>
    <w:multiLevelType w:val="multilevel"/>
    <w:tmpl w:val="9DDA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25710"/>
    <w:multiLevelType w:val="multilevel"/>
    <w:tmpl w:val="757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6E16"/>
    <w:multiLevelType w:val="multilevel"/>
    <w:tmpl w:val="25D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1" w15:restartNumberingAfterBreak="0">
    <w:nsid w:val="6F5E49E1"/>
    <w:multiLevelType w:val="multilevel"/>
    <w:tmpl w:val="054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5"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3"/>
  </w:num>
  <w:num w:numId="2" w16cid:durableId="116418603">
    <w:abstractNumId w:val="4"/>
  </w:num>
  <w:num w:numId="3" w16cid:durableId="301497653">
    <w:abstractNumId w:val="18"/>
  </w:num>
  <w:num w:numId="4" w16cid:durableId="1389110930">
    <w:abstractNumId w:val="15"/>
  </w:num>
  <w:num w:numId="5" w16cid:durableId="1038819762">
    <w:abstractNumId w:val="11"/>
  </w:num>
  <w:num w:numId="6" w16cid:durableId="374164089">
    <w:abstractNumId w:val="9"/>
  </w:num>
  <w:num w:numId="7" w16cid:durableId="593972605">
    <w:abstractNumId w:val="1"/>
  </w:num>
  <w:num w:numId="8" w16cid:durableId="1515027518">
    <w:abstractNumId w:val="16"/>
  </w:num>
  <w:num w:numId="9" w16cid:durableId="720322818">
    <w:abstractNumId w:val="13"/>
  </w:num>
  <w:num w:numId="10" w16cid:durableId="473840895">
    <w:abstractNumId w:val="25"/>
  </w:num>
  <w:num w:numId="11" w16cid:durableId="499002243">
    <w:abstractNumId w:val="20"/>
  </w:num>
  <w:num w:numId="12" w16cid:durableId="1314603233">
    <w:abstractNumId w:val="17"/>
  </w:num>
  <w:num w:numId="13" w16cid:durableId="832641607">
    <w:abstractNumId w:val="5"/>
  </w:num>
  <w:num w:numId="14" w16cid:durableId="1519923364">
    <w:abstractNumId w:val="26"/>
  </w:num>
  <w:num w:numId="15" w16cid:durableId="2003508221">
    <w:abstractNumId w:val="3"/>
  </w:num>
  <w:num w:numId="16" w16cid:durableId="1040401510">
    <w:abstractNumId w:val="6"/>
  </w:num>
  <w:num w:numId="17" w16cid:durableId="1468547310">
    <w:abstractNumId w:val="12"/>
  </w:num>
  <w:num w:numId="18" w16cid:durableId="1202787988">
    <w:abstractNumId w:val="24"/>
  </w:num>
  <w:num w:numId="19" w16cid:durableId="1694381031">
    <w:abstractNumId w:val="10"/>
  </w:num>
  <w:num w:numId="20" w16cid:durableId="1834760416">
    <w:abstractNumId w:val="0"/>
  </w:num>
  <w:num w:numId="21" w16cid:durableId="637146815">
    <w:abstractNumId w:val="8"/>
  </w:num>
  <w:num w:numId="22" w16cid:durableId="1361853752">
    <w:abstractNumId w:val="7"/>
  </w:num>
  <w:num w:numId="23" w16cid:durableId="1030061819">
    <w:abstractNumId w:val="22"/>
  </w:num>
  <w:num w:numId="24" w16cid:durableId="117376073">
    <w:abstractNumId w:val="2"/>
  </w:num>
  <w:num w:numId="25" w16cid:durableId="274023477">
    <w:abstractNumId w:val="19"/>
  </w:num>
  <w:num w:numId="26" w16cid:durableId="1461534163">
    <w:abstractNumId w:val="14"/>
  </w:num>
  <w:num w:numId="27" w16cid:durableId="2074741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D4B21"/>
    <w:rsid w:val="001207A9"/>
    <w:rsid w:val="001236BA"/>
    <w:rsid w:val="00143D6D"/>
    <w:rsid w:val="00145419"/>
    <w:rsid w:val="001C6067"/>
    <w:rsid w:val="00222A6E"/>
    <w:rsid w:val="002513EB"/>
    <w:rsid w:val="00274B82"/>
    <w:rsid w:val="002C3183"/>
    <w:rsid w:val="002F16D4"/>
    <w:rsid w:val="002F7B4E"/>
    <w:rsid w:val="00340EB4"/>
    <w:rsid w:val="0040473E"/>
    <w:rsid w:val="0042119E"/>
    <w:rsid w:val="00430D76"/>
    <w:rsid w:val="0048462B"/>
    <w:rsid w:val="004A7702"/>
    <w:rsid w:val="004C1EC6"/>
    <w:rsid w:val="00541401"/>
    <w:rsid w:val="00547CE8"/>
    <w:rsid w:val="005636A9"/>
    <w:rsid w:val="00575637"/>
    <w:rsid w:val="00594C5D"/>
    <w:rsid w:val="005C693D"/>
    <w:rsid w:val="00604CB8"/>
    <w:rsid w:val="0063558E"/>
    <w:rsid w:val="0065347B"/>
    <w:rsid w:val="00653E31"/>
    <w:rsid w:val="006D0B42"/>
    <w:rsid w:val="006D6549"/>
    <w:rsid w:val="00711A88"/>
    <w:rsid w:val="007574AF"/>
    <w:rsid w:val="00765760"/>
    <w:rsid w:val="007A63B5"/>
    <w:rsid w:val="007B6D0F"/>
    <w:rsid w:val="007C1493"/>
    <w:rsid w:val="00825018"/>
    <w:rsid w:val="0085522F"/>
    <w:rsid w:val="00876B0D"/>
    <w:rsid w:val="008F4558"/>
    <w:rsid w:val="00917B07"/>
    <w:rsid w:val="009205DF"/>
    <w:rsid w:val="00932F4C"/>
    <w:rsid w:val="0095754A"/>
    <w:rsid w:val="009716EC"/>
    <w:rsid w:val="0097339A"/>
    <w:rsid w:val="0098695B"/>
    <w:rsid w:val="00A00F55"/>
    <w:rsid w:val="00A14E1D"/>
    <w:rsid w:val="00A20D07"/>
    <w:rsid w:val="00A26A8C"/>
    <w:rsid w:val="00AC296A"/>
    <w:rsid w:val="00AC527E"/>
    <w:rsid w:val="00B32FF7"/>
    <w:rsid w:val="00B473A5"/>
    <w:rsid w:val="00B756AD"/>
    <w:rsid w:val="00B83C68"/>
    <w:rsid w:val="00B9580B"/>
    <w:rsid w:val="00BC665D"/>
    <w:rsid w:val="00C12289"/>
    <w:rsid w:val="00C14140"/>
    <w:rsid w:val="00C27611"/>
    <w:rsid w:val="00C30681"/>
    <w:rsid w:val="00C71287"/>
    <w:rsid w:val="00CC33F2"/>
    <w:rsid w:val="00D349E0"/>
    <w:rsid w:val="00D54817"/>
    <w:rsid w:val="00D72966"/>
    <w:rsid w:val="00E30CFD"/>
    <w:rsid w:val="00F24FCE"/>
    <w:rsid w:val="00F27D9D"/>
    <w:rsid w:val="00F66C20"/>
    <w:rsid w:val="00FB62D6"/>
    <w:rsid w:val="00FD02DA"/>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paragraph" w:customStyle="1" w:styleId="paragraph">
    <w:name w:val="paragraph"/>
    <w:basedOn w:val="Normal"/>
    <w:rsid w:val="00855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5522F"/>
  </w:style>
  <w:style w:type="character" w:customStyle="1" w:styleId="normaltextrun">
    <w:name w:val="normaltextrun"/>
    <w:basedOn w:val="DefaultParagraphFont"/>
    <w:rsid w:val="0085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4555">
      <w:bodyDiv w:val="1"/>
      <w:marLeft w:val="0"/>
      <w:marRight w:val="0"/>
      <w:marTop w:val="0"/>
      <w:marBottom w:val="0"/>
      <w:divBdr>
        <w:top w:val="none" w:sz="0" w:space="0" w:color="auto"/>
        <w:left w:val="none" w:sz="0" w:space="0" w:color="auto"/>
        <w:bottom w:val="none" w:sz="0" w:space="0" w:color="auto"/>
        <w:right w:val="none" w:sz="0" w:space="0" w:color="auto"/>
      </w:divBdr>
      <w:divsChild>
        <w:div w:id="1938903225">
          <w:marLeft w:val="0"/>
          <w:marRight w:val="0"/>
          <w:marTop w:val="0"/>
          <w:marBottom w:val="0"/>
          <w:divBdr>
            <w:top w:val="none" w:sz="0" w:space="0" w:color="auto"/>
            <w:left w:val="none" w:sz="0" w:space="0" w:color="auto"/>
            <w:bottom w:val="none" w:sz="0" w:space="0" w:color="auto"/>
            <w:right w:val="none" w:sz="0" w:space="0" w:color="auto"/>
          </w:divBdr>
        </w:div>
        <w:div w:id="1638147442">
          <w:marLeft w:val="0"/>
          <w:marRight w:val="0"/>
          <w:marTop w:val="0"/>
          <w:marBottom w:val="0"/>
          <w:divBdr>
            <w:top w:val="none" w:sz="0" w:space="0" w:color="auto"/>
            <w:left w:val="none" w:sz="0" w:space="0" w:color="auto"/>
            <w:bottom w:val="none" w:sz="0" w:space="0" w:color="auto"/>
            <w:right w:val="none" w:sz="0" w:space="0" w:color="auto"/>
          </w:divBdr>
        </w:div>
        <w:div w:id="193661949">
          <w:marLeft w:val="0"/>
          <w:marRight w:val="0"/>
          <w:marTop w:val="0"/>
          <w:marBottom w:val="0"/>
          <w:divBdr>
            <w:top w:val="none" w:sz="0" w:space="0" w:color="auto"/>
            <w:left w:val="none" w:sz="0" w:space="0" w:color="auto"/>
            <w:bottom w:val="none" w:sz="0" w:space="0" w:color="auto"/>
            <w:right w:val="none" w:sz="0" w:space="0" w:color="auto"/>
          </w:divBdr>
        </w:div>
        <w:div w:id="1778867335">
          <w:marLeft w:val="0"/>
          <w:marRight w:val="0"/>
          <w:marTop w:val="0"/>
          <w:marBottom w:val="0"/>
          <w:divBdr>
            <w:top w:val="none" w:sz="0" w:space="0" w:color="auto"/>
            <w:left w:val="none" w:sz="0" w:space="0" w:color="auto"/>
            <w:bottom w:val="none" w:sz="0" w:space="0" w:color="auto"/>
            <w:right w:val="none" w:sz="0" w:space="0" w:color="auto"/>
          </w:divBdr>
        </w:div>
        <w:div w:id="1562016308">
          <w:marLeft w:val="0"/>
          <w:marRight w:val="0"/>
          <w:marTop w:val="0"/>
          <w:marBottom w:val="0"/>
          <w:divBdr>
            <w:top w:val="none" w:sz="0" w:space="0" w:color="auto"/>
            <w:left w:val="none" w:sz="0" w:space="0" w:color="auto"/>
            <w:bottom w:val="none" w:sz="0" w:space="0" w:color="auto"/>
            <w:right w:val="none" w:sz="0" w:space="0" w:color="auto"/>
          </w:divBdr>
        </w:div>
        <w:div w:id="1028526975">
          <w:marLeft w:val="0"/>
          <w:marRight w:val="0"/>
          <w:marTop w:val="0"/>
          <w:marBottom w:val="0"/>
          <w:divBdr>
            <w:top w:val="none" w:sz="0" w:space="0" w:color="auto"/>
            <w:left w:val="none" w:sz="0" w:space="0" w:color="auto"/>
            <w:bottom w:val="none" w:sz="0" w:space="0" w:color="auto"/>
            <w:right w:val="none" w:sz="0" w:space="0" w:color="auto"/>
          </w:divBdr>
        </w:div>
        <w:div w:id="1946379107">
          <w:marLeft w:val="0"/>
          <w:marRight w:val="0"/>
          <w:marTop w:val="0"/>
          <w:marBottom w:val="0"/>
          <w:divBdr>
            <w:top w:val="none" w:sz="0" w:space="0" w:color="auto"/>
            <w:left w:val="none" w:sz="0" w:space="0" w:color="auto"/>
            <w:bottom w:val="none" w:sz="0" w:space="0" w:color="auto"/>
            <w:right w:val="none" w:sz="0" w:space="0" w:color="auto"/>
          </w:divBdr>
        </w:div>
        <w:div w:id="1743524741">
          <w:marLeft w:val="0"/>
          <w:marRight w:val="0"/>
          <w:marTop w:val="0"/>
          <w:marBottom w:val="0"/>
          <w:divBdr>
            <w:top w:val="none" w:sz="0" w:space="0" w:color="auto"/>
            <w:left w:val="none" w:sz="0" w:space="0" w:color="auto"/>
            <w:bottom w:val="none" w:sz="0" w:space="0" w:color="auto"/>
            <w:right w:val="none" w:sz="0" w:space="0" w:color="auto"/>
          </w:divBdr>
        </w:div>
        <w:div w:id="1410496198">
          <w:marLeft w:val="0"/>
          <w:marRight w:val="0"/>
          <w:marTop w:val="0"/>
          <w:marBottom w:val="0"/>
          <w:divBdr>
            <w:top w:val="none" w:sz="0" w:space="0" w:color="auto"/>
            <w:left w:val="none" w:sz="0" w:space="0" w:color="auto"/>
            <w:bottom w:val="none" w:sz="0" w:space="0" w:color="auto"/>
            <w:right w:val="none" w:sz="0" w:space="0" w:color="auto"/>
          </w:divBdr>
        </w:div>
        <w:div w:id="1088693960">
          <w:marLeft w:val="0"/>
          <w:marRight w:val="0"/>
          <w:marTop w:val="0"/>
          <w:marBottom w:val="0"/>
          <w:divBdr>
            <w:top w:val="none" w:sz="0" w:space="0" w:color="auto"/>
            <w:left w:val="none" w:sz="0" w:space="0" w:color="auto"/>
            <w:bottom w:val="none" w:sz="0" w:space="0" w:color="auto"/>
            <w:right w:val="none" w:sz="0" w:space="0" w:color="auto"/>
          </w:divBdr>
        </w:div>
        <w:div w:id="1491866934">
          <w:marLeft w:val="0"/>
          <w:marRight w:val="0"/>
          <w:marTop w:val="0"/>
          <w:marBottom w:val="0"/>
          <w:divBdr>
            <w:top w:val="none" w:sz="0" w:space="0" w:color="auto"/>
            <w:left w:val="none" w:sz="0" w:space="0" w:color="auto"/>
            <w:bottom w:val="none" w:sz="0" w:space="0" w:color="auto"/>
            <w:right w:val="none" w:sz="0" w:space="0" w:color="auto"/>
          </w:divBdr>
        </w:div>
        <w:div w:id="993484131">
          <w:marLeft w:val="0"/>
          <w:marRight w:val="0"/>
          <w:marTop w:val="0"/>
          <w:marBottom w:val="0"/>
          <w:divBdr>
            <w:top w:val="none" w:sz="0" w:space="0" w:color="auto"/>
            <w:left w:val="none" w:sz="0" w:space="0" w:color="auto"/>
            <w:bottom w:val="none" w:sz="0" w:space="0" w:color="auto"/>
            <w:right w:val="none" w:sz="0" w:space="0" w:color="auto"/>
          </w:divBdr>
        </w:div>
        <w:div w:id="817453055">
          <w:marLeft w:val="0"/>
          <w:marRight w:val="0"/>
          <w:marTop w:val="0"/>
          <w:marBottom w:val="0"/>
          <w:divBdr>
            <w:top w:val="none" w:sz="0" w:space="0" w:color="auto"/>
            <w:left w:val="none" w:sz="0" w:space="0" w:color="auto"/>
            <w:bottom w:val="none" w:sz="0" w:space="0" w:color="auto"/>
            <w:right w:val="none" w:sz="0" w:space="0" w:color="auto"/>
          </w:divBdr>
        </w:div>
        <w:div w:id="1818721533">
          <w:marLeft w:val="0"/>
          <w:marRight w:val="0"/>
          <w:marTop w:val="0"/>
          <w:marBottom w:val="0"/>
          <w:divBdr>
            <w:top w:val="none" w:sz="0" w:space="0" w:color="auto"/>
            <w:left w:val="none" w:sz="0" w:space="0" w:color="auto"/>
            <w:bottom w:val="none" w:sz="0" w:space="0" w:color="auto"/>
            <w:right w:val="none" w:sz="0" w:space="0" w:color="auto"/>
          </w:divBdr>
        </w:div>
        <w:div w:id="305552614">
          <w:marLeft w:val="0"/>
          <w:marRight w:val="0"/>
          <w:marTop w:val="0"/>
          <w:marBottom w:val="0"/>
          <w:divBdr>
            <w:top w:val="none" w:sz="0" w:space="0" w:color="auto"/>
            <w:left w:val="none" w:sz="0" w:space="0" w:color="auto"/>
            <w:bottom w:val="none" w:sz="0" w:space="0" w:color="auto"/>
            <w:right w:val="none" w:sz="0" w:space="0" w:color="auto"/>
          </w:divBdr>
        </w:div>
        <w:div w:id="198324791">
          <w:marLeft w:val="0"/>
          <w:marRight w:val="0"/>
          <w:marTop w:val="0"/>
          <w:marBottom w:val="0"/>
          <w:divBdr>
            <w:top w:val="none" w:sz="0" w:space="0" w:color="auto"/>
            <w:left w:val="none" w:sz="0" w:space="0" w:color="auto"/>
            <w:bottom w:val="none" w:sz="0" w:space="0" w:color="auto"/>
            <w:right w:val="none" w:sz="0" w:space="0" w:color="auto"/>
          </w:divBdr>
        </w:div>
        <w:div w:id="2044865932">
          <w:marLeft w:val="0"/>
          <w:marRight w:val="0"/>
          <w:marTop w:val="0"/>
          <w:marBottom w:val="0"/>
          <w:divBdr>
            <w:top w:val="none" w:sz="0" w:space="0" w:color="auto"/>
            <w:left w:val="none" w:sz="0" w:space="0" w:color="auto"/>
            <w:bottom w:val="none" w:sz="0" w:space="0" w:color="auto"/>
            <w:right w:val="none" w:sz="0" w:space="0" w:color="auto"/>
          </w:divBdr>
        </w:div>
        <w:div w:id="1485389554">
          <w:marLeft w:val="0"/>
          <w:marRight w:val="0"/>
          <w:marTop w:val="0"/>
          <w:marBottom w:val="0"/>
          <w:divBdr>
            <w:top w:val="none" w:sz="0" w:space="0" w:color="auto"/>
            <w:left w:val="none" w:sz="0" w:space="0" w:color="auto"/>
            <w:bottom w:val="none" w:sz="0" w:space="0" w:color="auto"/>
            <w:right w:val="none" w:sz="0" w:space="0" w:color="auto"/>
          </w:divBdr>
        </w:div>
        <w:div w:id="2008361759">
          <w:marLeft w:val="0"/>
          <w:marRight w:val="0"/>
          <w:marTop w:val="0"/>
          <w:marBottom w:val="0"/>
          <w:divBdr>
            <w:top w:val="none" w:sz="0" w:space="0" w:color="auto"/>
            <w:left w:val="none" w:sz="0" w:space="0" w:color="auto"/>
            <w:bottom w:val="none" w:sz="0" w:space="0" w:color="auto"/>
            <w:right w:val="none" w:sz="0" w:space="0" w:color="auto"/>
          </w:divBdr>
        </w:div>
        <w:div w:id="1377510109">
          <w:marLeft w:val="0"/>
          <w:marRight w:val="0"/>
          <w:marTop w:val="0"/>
          <w:marBottom w:val="0"/>
          <w:divBdr>
            <w:top w:val="none" w:sz="0" w:space="0" w:color="auto"/>
            <w:left w:val="none" w:sz="0" w:space="0" w:color="auto"/>
            <w:bottom w:val="none" w:sz="0" w:space="0" w:color="auto"/>
            <w:right w:val="none" w:sz="0" w:space="0" w:color="auto"/>
          </w:divBdr>
        </w:div>
        <w:div w:id="293410271">
          <w:marLeft w:val="0"/>
          <w:marRight w:val="0"/>
          <w:marTop w:val="0"/>
          <w:marBottom w:val="0"/>
          <w:divBdr>
            <w:top w:val="none" w:sz="0" w:space="0" w:color="auto"/>
            <w:left w:val="none" w:sz="0" w:space="0" w:color="auto"/>
            <w:bottom w:val="none" w:sz="0" w:space="0" w:color="auto"/>
            <w:right w:val="none" w:sz="0" w:space="0" w:color="auto"/>
          </w:divBdr>
        </w:div>
        <w:div w:id="690957749">
          <w:marLeft w:val="0"/>
          <w:marRight w:val="0"/>
          <w:marTop w:val="0"/>
          <w:marBottom w:val="0"/>
          <w:divBdr>
            <w:top w:val="none" w:sz="0" w:space="0" w:color="auto"/>
            <w:left w:val="none" w:sz="0" w:space="0" w:color="auto"/>
            <w:bottom w:val="none" w:sz="0" w:space="0" w:color="auto"/>
            <w:right w:val="none" w:sz="0" w:space="0" w:color="auto"/>
          </w:divBdr>
        </w:div>
        <w:div w:id="2136436689">
          <w:marLeft w:val="0"/>
          <w:marRight w:val="0"/>
          <w:marTop w:val="0"/>
          <w:marBottom w:val="0"/>
          <w:divBdr>
            <w:top w:val="none" w:sz="0" w:space="0" w:color="auto"/>
            <w:left w:val="none" w:sz="0" w:space="0" w:color="auto"/>
            <w:bottom w:val="none" w:sz="0" w:space="0" w:color="auto"/>
            <w:right w:val="none" w:sz="0" w:space="0" w:color="auto"/>
          </w:divBdr>
        </w:div>
        <w:div w:id="1504779430">
          <w:marLeft w:val="0"/>
          <w:marRight w:val="0"/>
          <w:marTop w:val="0"/>
          <w:marBottom w:val="0"/>
          <w:divBdr>
            <w:top w:val="none" w:sz="0" w:space="0" w:color="auto"/>
            <w:left w:val="none" w:sz="0" w:space="0" w:color="auto"/>
            <w:bottom w:val="none" w:sz="0" w:space="0" w:color="auto"/>
            <w:right w:val="none" w:sz="0" w:space="0" w:color="auto"/>
          </w:divBdr>
        </w:div>
        <w:div w:id="443353704">
          <w:marLeft w:val="0"/>
          <w:marRight w:val="0"/>
          <w:marTop w:val="0"/>
          <w:marBottom w:val="0"/>
          <w:divBdr>
            <w:top w:val="none" w:sz="0" w:space="0" w:color="auto"/>
            <w:left w:val="none" w:sz="0" w:space="0" w:color="auto"/>
            <w:bottom w:val="none" w:sz="0" w:space="0" w:color="auto"/>
            <w:right w:val="none" w:sz="0" w:space="0" w:color="auto"/>
          </w:divBdr>
        </w:div>
        <w:div w:id="1385593382">
          <w:marLeft w:val="0"/>
          <w:marRight w:val="0"/>
          <w:marTop w:val="0"/>
          <w:marBottom w:val="0"/>
          <w:divBdr>
            <w:top w:val="none" w:sz="0" w:space="0" w:color="auto"/>
            <w:left w:val="none" w:sz="0" w:space="0" w:color="auto"/>
            <w:bottom w:val="none" w:sz="0" w:space="0" w:color="auto"/>
            <w:right w:val="none" w:sz="0" w:space="0" w:color="auto"/>
          </w:divBdr>
        </w:div>
        <w:div w:id="536045409">
          <w:marLeft w:val="0"/>
          <w:marRight w:val="0"/>
          <w:marTop w:val="0"/>
          <w:marBottom w:val="0"/>
          <w:divBdr>
            <w:top w:val="none" w:sz="0" w:space="0" w:color="auto"/>
            <w:left w:val="none" w:sz="0" w:space="0" w:color="auto"/>
            <w:bottom w:val="none" w:sz="0" w:space="0" w:color="auto"/>
            <w:right w:val="none" w:sz="0" w:space="0" w:color="auto"/>
          </w:divBdr>
        </w:div>
        <w:div w:id="618612809">
          <w:marLeft w:val="0"/>
          <w:marRight w:val="0"/>
          <w:marTop w:val="0"/>
          <w:marBottom w:val="0"/>
          <w:divBdr>
            <w:top w:val="none" w:sz="0" w:space="0" w:color="auto"/>
            <w:left w:val="none" w:sz="0" w:space="0" w:color="auto"/>
            <w:bottom w:val="none" w:sz="0" w:space="0" w:color="auto"/>
            <w:right w:val="none" w:sz="0" w:space="0" w:color="auto"/>
          </w:divBdr>
        </w:div>
        <w:div w:id="1208880039">
          <w:marLeft w:val="0"/>
          <w:marRight w:val="0"/>
          <w:marTop w:val="0"/>
          <w:marBottom w:val="0"/>
          <w:divBdr>
            <w:top w:val="none" w:sz="0" w:space="0" w:color="auto"/>
            <w:left w:val="none" w:sz="0" w:space="0" w:color="auto"/>
            <w:bottom w:val="none" w:sz="0" w:space="0" w:color="auto"/>
            <w:right w:val="none" w:sz="0" w:space="0" w:color="auto"/>
          </w:divBdr>
        </w:div>
        <w:div w:id="53823261">
          <w:marLeft w:val="0"/>
          <w:marRight w:val="0"/>
          <w:marTop w:val="0"/>
          <w:marBottom w:val="0"/>
          <w:divBdr>
            <w:top w:val="none" w:sz="0" w:space="0" w:color="auto"/>
            <w:left w:val="none" w:sz="0" w:space="0" w:color="auto"/>
            <w:bottom w:val="none" w:sz="0" w:space="0" w:color="auto"/>
            <w:right w:val="none" w:sz="0" w:space="0" w:color="auto"/>
          </w:divBdr>
        </w:div>
        <w:div w:id="1385523627">
          <w:marLeft w:val="0"/>
          <w:marRight w:val="0"/>
          <w:marTop w:val="0"/>
          <w:marBottom w:val="0"/>
          <w:divBdr>
            <w:top w:val="none" w:sz="0" w:space="0" w:color="auto"/>
            <w:left w:val="none" w:sz="0" w:space="0" w:color="auto"/>
            <w:bottom w:val="none" w:sz="0" w:space="0" w:color="auto"/>
            <w:right w:val="none" w:sz="0" w:space="0" w:color="auto"/>
          </w:divBdr>
        </w:div>
        <w:div w:id="1952080902">
          <w:marLeft w:val="0"/>
          <w:marRight w:val="0"/>
          <w:marTop w:val="0"/>
          <w:marBottom w:val="0"/>
          <w:divBdr>
            <w:top w:val="none" w:sz="0" w:space="0" w:color="auto"/>
            <w:left w:val="none" w:sz="0" w:space="0" w:color="auto"/>
            <w:bottom w:val="none" w:sz="0" w:space="0" w:color="auto"/>
            <w:right w:val="none" w:sz="0" w:space="0" w:color="auto"/>
          </w:divBdr>
        </w:div>
        <w:div w:id="1789549391">
          <w:marLeft w:val="0"/>
          <w:marRight w:val="0"/>
          <w:marTop w:val="0"/>
          <w:marBottom w:val="0"/>
          <w:divBdr>
            <w:top w:val="none" w:sz="0" w:space="0" w:color="auto"/>
            <w:left w:val="none" w:sz="0" w:space="0" w:color="auto"/>
            <w:bottom w:val="none" w:sz="0" w:space="0" w:color="auto"/>
            <w:right w:val="none" w:sz="0" w:space="0" w:color="auto"/>
          </w:divBdr>
        </w:div>
        <w:div w:id="9182546">
          <w:marLeft w:val="0"/>
          <w:marRight w:val="0"/>
          <w:marTop w:val="0"/>
          <w:marBottom w:val="0"/>
          <w:divBdr>
            <w:top w:val="none" w:sz="0" w:space="0" w:color="auto"/>
            <w:left w:val="none" w:sz="0" w:space="0" w:color="auto"/>
            <w:bottom w:val="none" w:sz="0" w:space="0" w:color="auto"/>
            <w:right w:val="none" w:sz="0" w:space="0" w:color="auto"/>
          </w:divBdr>
        </w:div>
        <w:div w:id="1701973420">
          <w:marLeft w:val="0"/>
          <w:marRight w:val="0"/>
          <w:marTop w:val="0"/>
          <w:marBottom w:val="0"/>
          <w:divBdr>
            <w:top w:val="none" w:sz="0" w:space="0" w:color="auto"/>
            <w:left w:val="none" w:sz="0" w:space="0" w:color="auto"/>
            <w:bottom w:val="none" w:sz="0" w:space="0" w:color="auto"/>
            <w:right w:val="none" w:sz="0" w:space="0" w:color="auto"/>
          </w:divBdr>
        </w:div>
        <w:div w:id="15885128">
          <w:marLeft w:val="0"/>
          <w:marRight w:val="0"/>
          <w:marTop w:val="0"/>
          <w:marBottom w:val="0"/>
          <w:divBdr>
            <w:top w:val="none" w:sz="0" w:space="0" w:color="auto"/>
            <w:left w:val="none" w:sz="0" w:space="0" w:color="auto"/>
            <w:bottom w:val="none" w:sz="0" w:space="0" w:color="auto"/>
            <w:right w:val="none" w:sz="0" w:space="0" w:color="auto"/>
          </w:divBdr>
        </w:div>
        <w:div w:id="1732919053">
          <w:marLeft w:val="0"/>
          <w:marRight w:val="0"/>
          <w:marTop w:val="0"/>
          <w:marBottom w:val="0"/>
          <w:divBdr>
            <w:top w:val="none" w:sz="0" w:space="0" w:color="auto"/>
            <w:left w:val="none" w:sz="0" w:space="0" w:color="auto"/>
            <w:bottom w:val="none" w:sz="0" w:space="0" w:color="auto"/>
            <w:right w:val="none" w:sz="0" w:space="0" w:color="auto"/>
          </w:divBdr>
        </w:div>
        <w:div w:id="1955670190">
          <w:marLeft w:val="0"/>
          <w:marRight w:val="0"/>
          <w:marTop w:val="0"/>
          <w:marBottom w:val="0"/>
          <w:divBdr>
            <w:top w:val="none" w:sz="0" w:space="0" w:color="auto"/>
            <w:left w:val="none" w:sz="0" w:space="0" w:color="auto"/>
            <w:bottom w:val="none" w:sz="0" w:space="0" w:color="auto"/>
            <w:right w:val="none" w:sz="0" w:space="0" w:color="auto"/>
          </w:divBdr>
        </w:div>
        <w:div w:id="1109159229">
          <w:marLeft w:val="0"/>
          <w:marRight w:val="0"/>
          <w:marTop w:val="0"/>
          <w:marBottom w:val="0"/>
          <w:divBdr>
            <w:top w:val="none" w:sz="0" w:space="0" w:color="auto"/>
            <w:left w:val="none" w:sz="0" w:space="0" w:color="auto"/>
            <w:bottom w:val="none" w:sz="0" w:space="0" w:color="auto"/>
            <w:right w:val="none" w:sz="0" w:space="0" w:color="auto"/>
          </w:divBdr>
        </w:div>
        <w:div w:id="1775055965">
          <w:marLeft w:val="0"/>
          <w:marRight w:val="0"/>
          <w:marTop w:val="0"/>
          <w:marBottom w:val="0"/>
          <w:divBdr>
            <w:top w:val="none" w:sz="0" w:space="0" w:color="auto"/>
            <w:left w:val="none" w:sz="0" w:space="0" w:color="auto"/>
            <w:bottom w:val="none" w:sz="0" w:space="0" w:color="auto"/>
            <w:right w:val="none" w:sz="0" w:space="0" w:color="auto"/>
          </w:divBdr>
        </w:div>
        <w:div w:id="160702290">
          <w:marLeft w:val="0"/>
          <w:marRight w:val="0"/>
          <w:marTop w:val="0"/>
          <w:marBottom w:val="0"/>
          <w:divBdr>
            <w:top w:val="none" w:sz="0" w:space="0" w:color="auto"/>
            <w:left w:val="none" w:sz="0" w:space="0" w:color="auto"/>
            <w:bottom w:val="none" w:sz="0" w:space="0" w:color="auto"/>
            <w:right w:val="none" w:sz="0" w:space="0" w:color="auto"/>
          </w:divBdr>
        </w:div>
        <w:div w:id="724570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orc.ac.uk/registryservices/documents/ProceduresfortheRecognitionofPriorLearni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EAA90-1E54-4A1C-94E9-A643B627E933}">
  <ds:schemaRefs>
    <ds:schemaRef ds:uri="Microsoft.SharePoint.Taxonomy.ContentTypeSync"/>
  </ds:schemaRefs>
</ds:datastoreItem>
</file>

<file path=customXml/itemProps3.xml><?xml version="1.0" encoding="utf-8"?>
<ds:datastoreItem xmlns:ds="http://schemas.openxmlformats.org/officeDocument/2006/customXml" ds:itemID="{A2CA2449-5E8D-45B3-A837-CEEA5B71C36C}"/>
</file>

<file path=customXml/itemProps4.xml><?xml version="1.0" encoding="utf-8"?>
<ds:datastoreItem xmlns:ds="http://schemas.openxmlformats.org/officeDocument/2006/customXml" ds:itemID="{5BB28572-8F8A-46DA-8F45-400325A0F7C3}">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7</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2</cp:revision>
  <dcterms:created xsi:type="dcterms:W3CDTF">2023-05-09T13:36:00Z</dcterms:created>
  <dcterms:modified xsi:type="dcterms:W3CDTF">2023-05-09T13:36:00Z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