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Default="00F66C20" w:rsidP="008F4558">
      <w:pPr>
        <w:rPr>
          <w:rFonts w:ascii="Arial" w:hAnsi="Arial" w:cs="Arial"/>
          <w:noProof/>
        </w:rPr>
      </w:pPr>
      <w:r>
        <w:rPr>
          <w:noProof/>
        </w:rPr>
        <w:drawing>
          <wp:anchor distT="0" distB="0" distL="114300" distR="114300" simplePos="0" relativeHeight="251660288"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4A1B8ACB" w:rsidR="00575637" w:rsidRPr="0085522F" w:rsidRDefault="0085522F" w:rsidP="00F66C20">
      <w:pPr>
        <w:jc w:val="center"/>
        <w:rPr>
          <w:rFonts w:ascii="Arial" w:hAnsi="Arial" w:cs="Arial"/>
          <w:b/>
          <w:bCs/>
          <w:sz w:val="56"/>
          <w:szCs w:val="56"/>
        </w:rPr>
      </w:pPr>
      <w:r w:rsidRPr="0085522F">
        <w:rPr>
          <w:rFonts w:ascii="Arial" w:hAnsi="Arial" w:cs="Arial"/>
          <w:b/>
          <w:bCs/>
          <w:sz w:val="56"/>
          <w:szCs w:val="56"/>
        </w:rPr>
        <w:t>Recognition of Prior Learning (RPL)</w:t>
      </w:r>
    </w:p>
    <w:p w14:paraId="1DA864D1" w14:textId="5E787BFB" w:rsidR="0085522F" w:rsidRPr="0085522F" w:rsidRDefault="0085522F" w:rsidP="00F66C20">
      <w:pPr>
        <w:jc w:val="center"/>
        <w:rPr>
          <w:rFonts w:ascii="Arial" w:hAnsi="Arial" w:cs="Arial"/>
          <w:b/>
          <w:bCs/>
          <w:sz w:val="36"/>
          <w:szCs w:val="36"/>
        </w:rPr>
      </w:pPr>
      <w:r w:rsidRPr="0085522F">
        <w:rPr>
          <w:rFonts w:ascii="Arial" w:hAnsi="Arial" w:cs="Arial"/>
          <w:b/>
          <w:bCs/>
          <w:sz w:val="36"/>
          <w:szCs w:val="36"/>
        </w:rPr>
        <w:t>Credit Accumulation and Transfers Policy</w:t>
      </w:r>
    </w:p>
    <w:tbl>
      <w:tblPr>
        <w:tblStyle w:val="TableGrid"/>
        <w:tblW w:w="0" w:type="auto"/>
        <w:tblLook w:val="04A0" w:firstRow="1" w:lastRow="0" w:firstColumn="1" w:lastColumn="0" w:noHBand="0" w:noVBand="1"/>
      </w:tblPr>
      <w:tblGrid>
        <w:gridCol w:w="1800"/>
        <w:gridCol w:w="7216"/>
      </w:tblGrid>
      <w:tr w:rsidR="00C30681" w:rsidRPr="0085522F" w14:paraId="4519DE36" w14:textId="77777777" w:rsidTr="00F66C20">
        <w:tc>
          <w:tcPr>
            <w:tcW w:w="1800" w:type="dxa"/>
            <w:shd w:val="clear" w:color="auto" w:fill="006072"/>
          </w:tcPr>
          <w:p w14:paraId="02EC917E" w14:textId="77777777" w:rsidR="00C30681" w:rsidRPr="0085522F" w:rsidRDefault="00C30681" w:rsidP="00711A88">
            <w:pPr>
              <w:rPr>
                <w:rFonts w:ascii="Arial" w:hAnsi="Arial" w:cs="Arial"/>
                <w:b/>
                <w:bCs/>
                <w:color w:val="FFFFFF" w:themeColor="background1"/>
                <w:sz w:val="24"/>
                <w:szCs w:val="24"/>
              </w:rPr>
            </w:pPr>
            <w:r w:rsidRPr="0085522F">
              <w:rPr>
                <w:rFonts w:ascii="Arial" w:hAnsi="Arial" w:cs="Arial"/>
                <w:b/>
                <w:bCs/>
                <w:color w:val="FFFFFF" w:themeColor="background1"/>
                <w:sz w:val="24"/>
                <w:szCs w:val="24"/>
              </w:rPr>
              <w:t>Responsible</w:t>
            </w:r>
          </w:p>
        </w:tc>
        <w:tc>
          <w:tcPr>
            <w:tcW w:w="7216" w:type="dxa"/>
          </w:tcPr>
          <w:p w14:paraId="48963270" w14:textId="21869146" w:rsidR="00C30681" w:rsidRPr="0085522F" w:rsidRDefault="0085522F" w:rsidP="00711A88">
            <w:pPr>
              <w:rPr>
                <w:rFonts w:ascii="Arial" w:hAnsi="Arial" w:cs="Arial"/>
                <w:color w:val="011E41"/>
                <w:sz w:val="24"/>
                <w:szCs w:val="24"/>
              </w:rPr>
            </w:pPr>
            <w:r w:rsidRPr="0085522F">
              <w:rPr>
                <w:rFonts w:ascii="Arial" w:hAnsi="Arial" w:cs="Arial"/>
                <w:color w:val="011E41"/>
                <w:sz w:val="24"/>
                <w:szCs w:val="24"/>
              </w:rPr>
              <w:t>Claudine Leoni</w:t>
            </w:r>
          </w:p>
        </w:tc>
      </w:tr>
      <w:tr w:rsidR="00C30681" w:rsidRPr="0085522F" w14:paraId="07879E87" w14:textId="77777777" w:rsidTr="00F66C20">
        <w:tc>
          <w:tcPr>
            <w:tcW w:w="1800" w:type="dxa"/>
            <w:shd w:val="clear" w:color="auto" w:fill="006072"/>
          </w:tcPr>
          <w:p w14:paraId="0C6EA133" w14:textId="0E3FE32F" w:rsidR="00C30681" w:rsidRPr="0085522F" w:rsidRDefault="00C30681" w:rsidP="00711A88">
            <w:pPr>
              <w:rPr>
                <w:rFonts w:ascii="Arial" w:hAnsi="Arial" w:cs="Arial"/>
                <w:b/>
                <w:bCs/>
                <w:color w:val="FFFFFF" w:themeColor="background1"/>
                <w:sz w:val="24"/>
                <w:szCs w:val="24"/>
              </w:rPr>
            </w:pPr>
            <w:r w:rsidRPr="0085522F">
              <w:rPr>
                <w:rFonts w:ascii="Arial" w:hAnsi="Arial" w:cs="Arial"/>
                <w:b/>
                <w:bCs/>
                <w:color w:val="FFFFFF" w:themeColor="background1"/>
                <w:sz w:val="24"/>
                <w:szCs w:val="24"/>
              </w:rPr>
              <w:t>Accountable</w:t>
            </w:r>
            <w:r w:rsidR="00F66C20" w:rsidRPr="0085522F">
              <w:rPr>
                <w:rFonts w:ascii="Arial" w:hAnsi="Arial" w:cs="Arial"/>
                <w:b/>
                <w:bCs/>
                <w:color w:val="FFFFFF" w:themeColor="background1"/>
                <w:sz w:val="24"/>
                <w:szCs w:val="24"/>
              </w:rPr>
              <w:t xml:space="preserve"> Author</w:t>
            </w:r>
          </w:p>
        </w:tc>
        <w:tc>
          <w:tcPr>
            <w:tcW w:w="7216" w:type="dxa"/>
          </w:tcPr>
          <w:p w14:paraId="0B2AE45E" w14:textId="3E11C0BB" w:rsidR="00C30681" w:rsidRPr="0085522F" w:rsidRDefault="0085522F" w:rsidP="00711A88">
            <w:pPr>
              <w:rPr>
                <w:rFonts w:ascii="Arial" w:hAnsi="Arial" w:cs="Arial"/>
                <w:color w:val="011E41"/>
                <w:sz w:val="24"/>
                <w:szCs w:val="24"/>
              </w:rPr>
            </w:pPr>
            <w:r w:rsidRPr="0085522F">
              <w:rPr>
                <w:rFonts w:ascii="Arial" w:hAnsi="Arial" w:cs="Arial"/>
                <w:color w:val="011E41"/>
                <w:sz w:val="24"/>
                <w:szCs w:val="24"/>
              </w:rPr>
              <w:t>Nikki Blake</w:t>
            </w:r>
          </w:p>
        </w:tc>
      </w:tr>
    </w:tbl>
    <w:p w14:paraId="52619066" w14:textId="77777777" w:rsidR="009205DF" w:rsidRPr="0085522F" w:rsidRDefault="009205DF" w:rsidP="009205DF">
      <w:pPr>
        <w:rPr>
          <w:rFonts w:ascii="Arial" w:hAnsi="Arial" w:cs="Arial"/>
          <w:b/>
          <w:bCs/>
          <w:sz w:val="24"/>
          <w:szCs w:val="24"/>
        </w:rPr>
      </w:pPr>
    </w:p>
    <w:p w14:paraId="03ED87BA" w14:textId="77777777" w:rsidR="00C30681" w:rsidRPr="0085522F" w:rsidRDefault="00C30681" w:rsidP="00604CB8">
      <w:pPr>
        <w:ind w:left="-142"/>
        <w:rPr>
          <w:rFonts w:ascii="Arial" w:hAnsi="Arial" w:cs="Arial"/>
          <w:b/>
          <w:bCs/>
          <w:color w:val="011E41"/>
          <w:sz w:val="36"/>
          <w:szCs w:val="36"/>
        </w:rPr>
      </w:pPr>
      <w:r w:rsidRPr="0085522F">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60"/>
        <w:gridCol w:w="2173"/>
        <w:gridCol w:w="2264"/>
        <w:gridCol w:w="2319"/>
      </w:tblGrid>
      <w:tr w:rsidR="00C30681" w:rsidRPr="0085522F" w14:paraId="3C422713" w14:textId="77777777" w:rsidTr="00C30681">
        <w:tc>
          <w:tcPr>
            <w:tcW w:w="2614" w:type="dxa"/>
            <w:shd w:val="clear" w:color="auto" w:fill="006072"/>
          </w:tcPr>
          <w:p w14:paraId="4A7CA8E9" w14:textId="77777777" w:rsidR="00C30681" w:rsidRPr="0085522F" w:rsidRDefault="00C30681" w:rsidP="00711A88">
            <w:pPr>
              <w:rPr>
                <w:rFonts w:ascii="Arial" w:hAnsi="Arial" w:cs="Arial"/>
                <w:b/>
                <w:bCs/>
                <w:color w:val="FFFFFF" w:themeColor="background1"/>
                <w:sz w:val="24"/>
                <w:szCs w:val="24"/>
              </w:rPr>
            </w:pPr>
            <w:r w:rsidRPr="0085522F">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85522F" w:rsidRDefault="00C30681" w:rsidP="00711A88">
            <w:pPr>
              <w:rPr>
                <w:rFonts w:ascii="Arial" w:hAnsi="Arial" w:cs="Arial"/>
                <w:b/>
                <w:bCs/>
                <w:color w:val="FFFFFF" w:themeColor="background1"/>
                <w:sz w:val="24"/>
                <w:szCs w:val="24"/>
              </w:rPr>
            </w:pPr>
            <w:r w:rsidRPr="0085522F">
              <w:rPr>
                <w:rFonts w:ascii="Arial" w:hAnsi="Arial" w:cs="Arial"/>
                <w:b/>
                <w:color w:val="FFFFFF" w:themeColor="background1"/>
                <w:sz w:val="24"/>
                <w:szCs w:val="24"/>
              </w:rPr>
              <w:t>Author</w:t>
            </w:r>
          </w:p>
        </w:tc>
        <w:tc>
          <w:tcPr>
            <w:tcW w:w="2614" w:type="dxa"/>
            <w:shd w:val="clear" w:color="auto" w:fill="006072"/>
          </w:tcPr>
          <w:p w14:paraId="6F317A70" w14:textId="00E39606" w:rsidR="00C30681" w:rsidRPr="0085522F" w:rsidRDefault="00F66C20" w:rsidP="00711A88">
            <w:pPr>
              <w:rPr>
                <w:rFonts w:ascii="Arial" w:hAnsi="Arial" w:cs="Arial"/>
                <w:b/>
                <w:bCs/>
                <w:color w:val="FFFFFF" w:themeColor="background1"/>
                <w:sz w:val="24"/>
                <w:szCs w:val="24"/>
              </w:rPr>
            </w:pPr>
            <w:r w:rsidRPr="0085522F">
              <w:rPr>
                <w:rFonts w:ascii="Arial" w:hAnsi="Arial" w:cs="Arial"/>
                <w:b/>
                <w:bCs/>
                <w:color w:val="FFFFFF" w:themeColor="background1"/>
                <w:sz w:val="24"/>
                <w:szCs w:val="24"/>
              </w:rPr>
              <w:t>Approved by &amp; Date</w:t>
            </w:r>
          </w:p>
        </w:tc>
        <w:tc>
          <w:tcPr>
            <w:tcW w:w="2614" w:type="dxa"/>
            <w:shd w:val="clear" w:color="auto" w:fill="006072"/>
          </w:tcPr>
          <w:p w14:paraId="58331F3C" w14:textId="77777777" w:rsidR="00C30681" w:rsidRPr="0085522F" w:rsidRDefault="00C30681" w:rsidP="00711A88">
            <w:pPr>
              <w:rPr>
                <w:rFonts w:ascii="Arial" w:hAnsi="Arial" w:cs="Arial"/>
                <w:b/>
                <w:bCs/>
                <w:color w:val="FFFFFF" w:themeColor="background1"/>
                <w:sz w:val="24"/>
                <w:szCs w:val="24"/>
              </w:rPr>
            </w:pPr>
            <w:r w:rsidRPr="0085522F">
              <w:rPr>
                <w:rFonts w:ascii="Arial" w:hAnsi="Arial" w:cs="Arial"/>
                <w:b/>
                <w:color w:val="FFFFFF" w:themeColor="background1"/>
                <w:sz w:val="24"/>
                <w:szCs w:val="24"/>
              </w:rPr>
              <w:t>Description of Revision</w:t>
            </w:r>
          </w:p>
        </w:tc>
      </w:tr>
      <w:tr w:rsidR="00C30681" w:rsidRPr="0085522F" w14:paraId="2237B461" w14:textId="77777777" w:rsidTr="00711A88">
        <w:tc>
          <w:tcPr>
            <w:tcW w:w="2614" w:type="dxa"/>
          </w:tcPr>
          <w:p w14:paraId="50E1DB6B" w14:textId="5C40F326" w:rsidR="00C30681" w:rsidRPr="0085522F" w:rsidRDefault="0085522F" w:rsidP="00711A88">
            <w:pPr>
              <w:rPr>
                <w:rFonts w:ascii="Arial" w:hAnsi="Arial" w:cs="Arial"/>
                <w:color w:val="011E41"/>
                <w:sz w:val="24"/>
                <w:szCs w:val="24"/>
              </w:rPr>
            </w:pPr>
            <w:r w:rsidRPr="0085522F">
              <w:rPr>
                <w:rFonts w:ascii="Arial" w:hAnsi="Arial" w:cs="Arial"/>
                <w:color w:val="011E41"/>
                <w:sz w:val="24"/>
                <w:szCs w:val="24"/>
              </w:rPr>
              <w:t>June 2017</w:t>
            </w:r>
          </w:p>
        </w:tc>
        <w:tc>
          <w:tcPr>
            <w:tcW w:w="2614" w:type="dxa"/>
          </w:tcPr>
          <w:p w14:paraId="03AB77B5" w14:textId="4D727C12" w:rsidR="00C30681" w:rsidRPr="0085522F" w:rsidRDefault="0085522F" w:rsidP="00711A88">
            <w:pPr>
              <w:rPr>
                <w:rFonts w:ascii="Arial" w:hAnsi="Arial" w:cs="Arial"/>
                <w:color w:val="011E41"/>
                <w:sz w:val="24"/>
                <w:szCs w:val="24"/>
              </w:rPr>
            </w:pPr>
            <w:r w:rsidRPr="0085522F">
              <w:rPr>
                <w:rFonts w:ascii="Arial" w:hAnsi="Arial" w:cs="Arial"/>
                <w:color w:val="011E41"/>
                <w:sz w:val="24"/>
                <w:szCs w:val="24"/>
              </w:rPr>
              <w:t>SCIL</w:t>
            </w:r>
          </w:p>
        </w:tc>
        <w:tc>
          <w:tcPr>
            <w:tcW w:w="2614" w:type="dxa"/>
          </w:tcPr>
          <w:p w14:paraId="641C1A71" w14:textId="0283C598" w:rsidR="00C30681" w:rsidRPr="0085522F" w:rsidRDefault="0085522F" w:rsidP="00711A88">
            <w:pPr>
              <w:rPr>
                <w:rFonts w:ascii="Arial" w:hAnsi="Arial" w:cs="Arial"/>
                <w:color w:val="011E41"/>
                <w:sz w:val="24"/>
                <w:szCs w:val="24"/>
              </w:rPr>
            </w:pPr>
            <w:r w:rsidRPr="0085522F">
              <w:rPr>
                <w:rFonts w:ascii="Arial" w:hAnsi="Arial" w:cs="Arial"/>
                <w:color w:val="011E41"/>
                <w:sz w:val="24"/>
                <w:szCs w:val="24"/>
              </w:rPr>
              <w:t>SCIL SMT</w:t>
            </w:r>
          </w:p>
        </w:tc>
        <w:tc>
          <w:tcPr>
            <w:tcW w:w="2614" w:type="dxa"/>
          </w:tcPr>
          <w:p w14:paraId="252F4A07" w14:textId="0A6EE331" w:rsidR="00C30681" w:rsidRPr="0085522F" w:rsidRDefault="0085522F" w:rsidP="00711A88">
            <w:pPr>
              <w:rPr>
                <w:rFonts w:ascii="Arial" w:hAnsi="Arial" w:cs="Arial"/>
                <w:color w:val="011E41"/>
                <w:sz w:val="24"/>
                <w:szCs w:val="24"/>
              </w:rPr>
            </w:pPr>
            <w:r w:rsidRPr="0085522F">
              <w:rPr>
                <w:rFonts w:ascii="Arial" w:hAnsi="Arial" w:cs="Arial"/>
                <w:color w:val="011E41"/>
                <w:sz w:val="24"/>
                <w:szCs w:val="24"/>
              </w:rPr>
              <w:t>Annual review</w:t>
            </w:r>
          </w:p>
        </w:tc>
      </w:tr>
      <w:tr w:rsidR="00C30681" w:rsidRPr="0085522F" w14:paraId="141CA7B7" w14:textId="77777777" w:rsidTr="00711A88">
        <w:tc>
          <w:tcPr>
            <w:tcW w:w="2614" w:type="dxa"/>
          </w:tcPr>
          <w:p w14:paraId="4E0FABCE" w14:textId="0F72BD51" w:rsidR="00C30681" w:rsidRPr="0085522F" w:rsidRDefault="0085522F" w:rsidP="00711A88">
            <w:pPr>
              <w:rPr>
                <w:rFonts w:ascii="Arial" w:hAnsi="Arial" w:cs="Arial"/>
                <w:color w:val="011E41"/>
                <w:sz w:val="24"/>
                <w:szCs w:val="24"/>
              </w:rPr>
            </w:pPr>
            <w:r w:rsidRPr="0085522F">
              <w:rPr>
                <w:rFonts w:ascii="Arial" w:hAnsi="Arial" w:cs="Arial"/>
                <w:color w:val="011E41"/>
                <w:sz w:val="24"/>
                <w:szCs w:val="24"/>
              </w:rPr>
              <w:t>June 2018</w:t>
            </w:r>
          </w:p>
        </w:tc>
        <w:tc>
          <w:tcPr>
            <w:tcW w:w="2614" w:type="dxa"/>
          </w:tcPr>
          <w:p w14:paraId="4A3ECB03" w14:textId="05E193EF" w:rsidR="00C30681" w:rsidRPr="0085522F" w:rsidRDefault="0085522F" w:rsidP="00711A88">
            <w:pPr>
              <w:rPr>
                <w:rFonts w:ascii="Arial" w:hAnsi="Arial" w:cs="Arial"/>
                <w:b/>
                <w:bCs/>
                <w:color w:val="011E41"/>
                <w:sz w:val="24"/>
                <w:szCs w:val="24"/>
              </w:rPr>
            </w:pPr>
            <w:r w:rsidRPr="0085522F">
              <w:rPr>
                <w:rFonts w:ascii="Arial" w:hAnsi="Arial" w:cs="Arial"/>
                <w:color w:val="011E41"/>
                <w:sz w:val="24"/>
                <w:szCs w:val="24"/>
              </w:rPr>
              <w:t>SCIL</w:t>
            </w:r>
          </w:p>
        </w:tc>
        <w:tc>
          <w:tcPr>
            <w:tcW w:w="2614" w:type="dxa"/>
          </w:tcPr>
          <w:p w14:paraId="65FF0F60" w14:textId="19D29D93" w:rsidR="00C30681" w:rsidRPr="0085522F" w:rsidRDefault="0085522F" w:rsidP="00711A88">
            <w:pPr>
              <w:rPr>
                <w:rFonts w:ascii="Arial" w:hAnsi="Arial" w:cs="Arial"/>
                <w:b/>
                <w:bCs/>
                <w:color w:val="011E41"/>
                <w:sz w:val="24"/>
                <w:szCs w:val="24"/>
              </w:rPr>
            </w:pPr>
            <w:r w:rsidRPr="0085522F">
              <w:rPr>
                <w:rFonts w:ascii="Arial" w:hAnsi="Arial" w:cs="Arial"/>
                <w:color w:val="011E41"/>
                <w:sz w:val="24"/>
                <w:szCs w:val="24"/>
              </w:rPr>
              <w:t>SCIL SMT</w:t>
            </w:r>
          </w:p>
        </w:tc>
        <w:tc>
          <w:tcPr>
            <w:tcW w:w="2614" w:type="dxa"/>
          </w:tcPr>
          <w:p w14:paraId="04FDB530" w14:textId="0282A47D" w:rsidR="00C30681" w:rsidRPr="0085522F" w:rsidRDefault="0085522F" w:rsidP="00711A88">
            <w:pPr>
              <w:rPr>
                <w:rFonts w:ascii="Arial" w:hAnsi="Arial" w:cs="Arial"/>
                <w:b/>
                <w:bCs/>
                <w:color w:val="011E41"/>
                <w:sz w:val="24"/>
                <w:szCs w:val="24"/>
              </w:rPr>
            </w:pPr>
            <w:r w:rsidRPr="0085522F">
              <w:rPr>
                <w:rFonts w:ascii="Arial" w:hAnsi="Arial" w:cs="Arial"/>
                <w:color w:val="011E41"/>
                <w:sz w:val="24"/>
                <w:szCs w:val="24"/>
              </w:rPr>
              <w:t>Annual review</w:t>
            </w:r>
          </w:p>
        </w:tc>
      </w:tr>
      <w:tr w:rsidR="00C30681" w:rsidRPr="0085522F" w14:paraId="7E5BAC63" w14:textId="77777777" w:rsidTr="00711A88">
        <w:tc>
          <w:tcPr>
            <w:tcW w:w="2614" w:type="dxa"/>
          </w:tcPr>
          <w:p w14:paraId="2A5AD094" w14:textId="7DD3FE9C" w:rsidR="00C30681" w:rsidRPr="0085522F" w:rsidRDefault="0085522F" w:rsidP="00711A88">
            <w:pPr>
              <w:rPr>
                <w:rFonts w:ascii="Arial" w:hAnsi="Arial" w:cs="Arial"/>
                <w:sz w:val="24"/>
                <w:szCs w:val="24"/>
              </w:rPr>
            </w:pPr>
            <w:r w:rsidRPr="0085522F">
              <w:rPr>
                <w:rFonts w:ascii="Arial" w:hAnsi="Arial" w:cs="Arial"/>
                <w:sz w:val="24"/>
                <w:szCs w:val="24"/>
              </w:rPr>
              <w:t>June 2019</w:t>
            </w:r>
          </w:p>
        </w:tc>
        <w:tc>
          <w:tcPr>
            <w:tcW w:w="2614" w:type="dxa"/>
          </w:tcPr>
          <w:p w14:paraId="790080F9" w14:textId="47DF812D" w:rsidR="00C30681" w:rsidRPr="0085522F" w:rsidRDefault="0085522F" w:rsidP="00711A88">
            <w:pPr>
              <w:rPr>
                <w:rFonts w:ascii="Arial" w:hAnsi="Arial" w:cs="Arial"/>
                <w:b/>
                <w:bCs/>
                <w:sz w:val="24"/>
                <w:szCs w:val="24"/>
              </w:rPr>
            </w:pPr>
            <w:r w:rsidRPr="0085522F">
              <w:rPr>
                <w:rFonts w:ascii="Arial" w:hAnsi="Arial" w:cs="Arial"/>
                <w:color w:val="011E41"/>
                <w:sz w:val="24"/>
                <w:szCs w:val="24"/>
              </w:rPr>
              <w:t>SCIL</w:t>
            </w:r>
          </w:p>
        </w:tc>
        <w:tc>
          <w:tcPr>
            <w:tcW w:w="2614" w:type="dxa"/>
          </w:tcPr>
          <w:p w14:paraId="2360CE0A" w14:textId="3FF3D76F" w:rsidR="00C30681" w:rsidRPr="0085522F" w:rsidRDefault="0085522F" w:rsidP="00711A88">
            <w:pPr>
              <w:rPr>
                <w:rFonts w:ascii="Arial" w:hAnsi="Arial" w:cs="Arial"/>
                <w:b/>
                <w:bCs/>
                <w:sz w:val="24"/>
                <w:szCs w:val="24"/>
              </w:rPr>
            </w:pPr>
            <w:r w:rsidRPr="0085522F">
              <w:rPr>
                <w:rFonts w:ascii="Arial" w:hAnsi="Arial" w:cs="Arial"/>
                <w:color w:val="011E41"/>
                <w:sz w:val="24"/>
                <w:szCs w:val="24"/>
              </w:rPr>
              <w:t>SCIL SMT</w:t>
            </w:r>
          </w:p>
        </w:tc>
        <w:tc>
          <w:tcPr>
            <w:tcW w:w="2614" w:type="dxa"/>
          </w:tcPr>
          <w:p w14:paraId="53CD1998" w14:textId="68ED1278" w:rsidR="00C30681" w:rsidRPr="0085522F" w:rsidRDefault="0085522F" w:rsidP="00711A88">
            <w:pPr>
              <w:rPr>
                <w:rFonts w:ascii="Arial" w:hAnsi="Arial" w:cs="Arial"/>
                <w:b/>
                <w:bCs/>
                <w:sz w:val="24"/>
                <w:szCs w:val="24"/>
              </w:rPr>
            </w:pPr>
            <w:r w:rsidRPr="0085522F">
              <w:rPr>
                <w:rFonts w:ascii="Arial" w:hAnsi="Arial" w:cs="Arial"/>
                <w:color w:val="011E41"/>
                <w:sz w:val="24"/>
                <w:szCs w:val="24"/>
              </w:rPr>
              <w:t>Annual review</w:t>
            </w:r>
          </w:p>
        </w:tc>
      </w:tr>
      <w:tr w:rsidR="00274B82" w:rsidRPr="0085522F" w14:paraId="786513B2" w14:textId="77777777" w:rsidTr="00711A88">
        <w:tc>
          <w:tcPr>
            <w:tcW w:w="2614" w:type="dxa"/>
          </w:tcPr>
          <w:p w14:paraId="69E4DC39" w14:textId="2588F626" w:rsidR="00274B82" w:rsidRPr="0085522F" w:rsidRDefault="0085522F" w:rsidP="00711A88">
            <w:pPr>
              <w:rPr>
                <w:rFonts w:ascii="Arial" w:hAnsi="Arial" w:cs="Arial"/>
                <w:sz w:val="24"/>
                <w:szCs w:val="24"/>
              </w:rPr>
            </w:pPr>
            <w:r w:rsidRPr="0085522F">
              <w:rPr>
                <w:rFonts w:ascii="Arial" w:hAnsi="Arial" w:cs="Arial"/>
                <w:sz w:val="24"/>
                <w:szCs w:val="24"/>
              </w:rPr>
              <w:t>June 2020</w:t>
            </w:r>
          </w:p>
        </w:tc>
        <w:tc>
          <w:tcPr>
            <w:tcW w:w="2614" w:type="dxa"/>
          </w:tcPr>
          <w:p w14:paraId="0BE17018" w14:textId="646B837F" w:rsidR="00274B82" w:rsidRPr="0085522F" w:rsidRDefault="0085522F" w:rsidP="00711A88">
            <w:pPr>
              <w:rPr>
                <w:rFonts w:ascii="Arial" w:hAnsi="Arial" w:cs="Arial"/>
                <w:b/>
                <w:bCs/>
                <w:sz w:val="24"/>
                <w:szCs w:val="24"/>
              </w:rPr>
            </w:pPr>
            <w:r w:rsidRPr="0085522F">
              <w:rPr>
                <w:rFonts w:ascii="Arial" w:hAnsi="Arial" w:cs="Arial"/>
                <w:color w:val="011E41"/>
                <w:sz w:val="24"/>
                <w:szCs w:val="24"/>
              </w:rPr>
              <w:t>SCIL</w:t>
            </w:r>
          </w:p>
        </w:tc>
        <w:tc>
          <w:tcPr>
            <w:tcW w:w="2614" w:type="dxa"/>
          </w:tcPr>
          <w:p w14:paraId="62960615" w14:textId="089C9EA9" w:rsidR="00274B82" w:rsidRPr="0085522F" w:rsidRDefault="0085522F" w:rsidP="00711A88">
            <w:pPr>
              <w:rPr>
                <w:rFonts w:ascii="Arial" w:hAnsi="Arial" w:cs="Arial"/>
                <w:b/>
                <w:bCs/>
                <w:sz w:val="24"/>
                <w:szCs w:val="24"/>
              </w:rPr>
            </w:pPr>
            <w:r w:rsidRPr="0085522F">
              <w:rPr>
                <w:rFonts w:ascii="Arial" w:hAnsi="Arial" w:cs="Arial"/>
                <w:color w:val="011E41"/>
                <w:sz w:val="24"/>
                <w:szCs w:val="24"/>
              </w:rPr>
              <w:t>SCIL SMT</w:t>
            </w:r>
          </w:p>
        </w:tc>
        <w:tc>
          <w:tcPr>
            <w:tcW w:w="2614" w:type="dxa"/>
          </w:tcPr>
          <w:p w14:paraId="30744AC4" w14:textId="69EA753D" w:rsidR="00274B82" w:rsidRPr="0085522F" w:rsidRDefault="0085522F" w:rsidP="00711A88">
            <w:pPr>
              <w:rPr>
                <w:rFonts w:ascii="Arial" w:hAnsi="Arial" w:cs="Arial"/>
                <w:b/>
                <w:bCs/>
                <w:sz w:val="24"/>
                <w:szCs w:val="24"/>
              </w:rPr>
            </w:pPr>
            <w:r w:rsidRPr="0085522F">
              <w:rPr>
                <w:rFonts w:ascii="Arial" w:hAnsi="Arial" w:cs="Arial"/>
                <w:color w:val="011E41"/>
                <w:sz w:val="24"/>
                <w:szCs w:val="24"/>
              </w:rPr>
              <w:t>Annual review</w:t>
            </w:r>
          </w:p>
        </w:tc>
      </w:tr>
      <w:tr w:rsidR="00274B82" w:rsidRPr="0085522F" w14:paraId="0826755C" w14:textId="77777777" w:rsidTr="00711A88">
        <w:tc>
          <w:tcPr>
            <w:tcW w:w="2614" w:type="dxa"/>
          </w:tcPr>
          <w:p w14:paraId="58B19357" w14:textId="02856942" w:rsidR="00274B82" w:rsidRPr="0085522F" w:rsidRDefault="0085522F" w:rsidP="00711A88">
            <w:pPr>
              <w:rPr>
                <w:rFonts w:ascii="Arial" w:hAnsi="Arial" w:cs="Arial"/>
                <w:sz w:val="24"/>
                <w:szCs w:val="24"/>
              </w:rPr>
            </w:pPr>
            <w:r w:rsidRPr="0085522F">
              <w:rPr>
                <w:rFonts w:ascii="Arial" w:hAnsi="Arial" w:cs="Arial"/>
                <w:sz w:val="24"/>
                <w:szCs w:val="24"/>
              </w:rPr>
              <w:t>October 2021</w:t>
            </w:r>
          </w:p>
        </w:tc>
        <w:tc>
          <w:tcPr>
            <w:tcW w:w="2614" w:type="dxa"/>
          </w:tcPr>
          <w:p w14:paraId="2F6E5E3A" w14:textId="0BA08B69" w:rsidR="00274B82" w:rsidRPr="0085522F" w:rsidRDefault="0085522F" w:rsidP="00711A88">
            <w:pPr>
              <w:rPr>
                <w:rFonts w:ascii="Arial" w:hAnsi="Arial" w:cs="Arial"/>
                <w:b/>
                <w:bCs/>
                <w:sz w:val="24"/>
                <w:szCs w:val="24"/>
              </w:rPr>
            </w:pPr>
            <w:r w:rsidRPr="0085522F">
              <w:rPr>
                <w:rFonts w:ascii="Arial" w:hAnsi="Arial" w:cs="Arial"/>
                <w:color w:val="011E41"/>
                <w:sz w:val="24"/>
                <w:szCs w:val="24"/>
              </w:rPr>
              <w:t>SCIL</w:t>
            </w:r>
          </w:p>
        </w:tc>
        <w:tc>
          <w:tcPr>
            <w:tcW w:w="2614" w:type="dxa"/>
          </w:tcPr>
          <w:p w14:paraId="3821A6F2" w14:textId="7B7F6AFE" w:rsidR="00274B82" w:rsidRPr="0085522F" w:rsidRDefault="0085522F" w:rsidP="00711A88">
            <w:pPr>
              <w:rPr>
                <w:rFonts w:ascii="Arial" w:hAnsi="Arial" w:cs="Arial"/>
                <w:b/>
                <w:bCs/>
                <w:sz w:val="24"/>
                <w:szCs w:val="24"/>
              </w:rPr>
            </w:pPr>
            <w:r w:rsidRPr="0085522F">
              <w:rPr>
                <w:rFonts w:ascii="Arial" w:hAnsi="Arial" w:cs="Arial"/>
                <w:color w:val="011E41"/>
                <w:sz w:val="24"/>
                <w:szCs w:val="24"/>
              </w:rPr>
              <w:t>SCIL SMT</w:t>
            </w:r>
          </w:p>
        </w:tc>
        <w:tc>
          <w:tcPr>
            <w:tcW w:w="2614" w:type="dxa"/>
          </w:tcPr>
          <w:p w14:paraId="7E0E5D83" w14:textId="39798E41" w:rsidR="00274B82" w:rsidRPr="0085522F" w:rsidRDefault="0085522F" w:rsidP="00711A88">
            <w:pPr>
              <w:rPr>
                <w:rFonts w:ascii="Arial" w:hAnsi="Arial" w:cs="Arial"/>
                <w:b/>
                <w:bCs/>
                <w:sz w:val="24"/>
                <w:szCs w:val="24"/>
              </w:rPr>
            </w:pPr>
            <w:r w:rsidRPr="0085522F">
              <w:rPr>
                <w:rFonts w:ascii="Arial" w:hAnsi="Arial" w:cs="Arial"/>
                <w:color w:val="011E41"/>
                <w:sz w:val="24"/>
                <w:szCs w:val="24"/>
              </w:rPr>
              <w:t>Annual review</w:t>
            </w:r>
          </w:p>
        </w:tc>
      </w:tr>
      <w:tr w:rsidR="00274B82" w:rsidRPr="0085522F" w14:paraId="20A9A09F" w14:textId="77777777" w:rsidTr="00711A88">
        <w:tc>
          <w:tcPr>
            <w:tcW w:w="2614" w:type="dxa"/>
          </w:tcPr>
          <w:p w14:paraId="46710D2F" w14:textId="2059146E" w:rsidR="00274B82" w:rsidRPr="0085522F" w:rsidRDefault="0085522F" w:rsidP="00711A88">
            <w:pPr>
              <w:rPr>
                <w:rFonts w:ascii="Arial" w:hAnsi="Arial" w:cs="Arial"/>
                <w:sz w:val="24"/>
                <w:szCs w:val="24"/>
              </w:rPr>
            </w:pPr>
            <w:r w:rsidRPr="0085522F">
              <w:rPr>
                <w:rFonts w:ascii="Arial" w:hAnsi="Arial" w:cs="Arial"/>
                <w:sz w:val="24"/>
                <w:szCs w:val="24"/>
              </w:rPr>
              <w:t>November 2022</w:t>
            </w:r>
          </w:p>
        </w:tc>
        <w:tc>
          <w:tcPr>
            <w:tcW w:w="2614" w:type="dxa"/>
          </w:tcPr>
          <w:p w14:paraId="7A1397D7" w14:textId="291100AE" w:rsidR="00274B82" w:rsidRPr="0085522F" w:rsidRDefault="0085522F" w:rsidP="00711A88">
            <w:pPr>
              <w:rPr>
                <w:rFonts w:ascii="Arial" w:hAnsi="Arial" w:cs="Arial"/>
                <w:b/>
                <w:bCs/>
                <w:sz w:val="24"/>
                <w:szCs w:val="24"/>
              </w:rPr>
            </w:pPr>
            <w:r w:rsidRPr="0085522F">
              <w:rPr>
                <w:rFonts w:ascii="Arial" w:hAnsi="Arial" w:cs="Arial"/>
                <w:color w:val="011E41"/>
                <w:sz w:val="24"/>
                <w:szCs w:val="24"/>
              </w:rPr>
              <w:t>SCIL</w:t>
            </w:r>
          </w:p>
        </w:tc>
        <w:tc>
          <w:tcPr>
            <w:tcW w:w="2614" w:type="dxa"/>
          </w:tcPr>
          <w:p w14:paraId="5CB51627" w14:textId="3E34C8F6" w:rsidR="00274B82" w:rsidRPr="0085522F" w:rsidRDefault="0085522F" w:rsidP="00711A88">
            <w:pPr>
              <w:rPr>
                <w:rFonts w:ascii="Arial" w:hAnsi="Arial" w:cs="Arial"/>
                <w:sz w:val="24"/>
                <w:szCs w:val="24"/>
              </w:rPr>
            </w:pPr>
            <w:r w:rsidRPr="0085522F">
              <w:rPr>
                <w:rFonts w:ascii="Arial" w:hAnsi="Arial" w:cs="Arial"/>
                <w:sz w:val="24"/>
                <w:szCs w:val="24"/>
              </w:rPr>
              <w:t>Lead IQA</w:t>
            </w:r>
          </w:p>
        </w:tc>
        <w:tc>
          <w:tcPr>
            <w:tcW w:w="2614" w:type="dxa"/>
          </w:tcPr>
          <w:p w14:paraId="2A1FCA89" w14:textId="1A09EAD0" w:rsidR="00274B82" w:rsidRPr="0085522F" w:rsidRDefault="0085522F" w:rsidP="00711A88">
            <w:pPr>
              <w:rPr>
                <w:rFonts w:ascii="Arial" w:hAnsi="Arial" w:cs="Arial"/>
                <w:b/>
                <w:bCs/>
                <w:sz w:val="24"/>
                <w:szCs w:val="24"/>
              </w:rPr>
            </w:pPr>
            <w:r w:rsidRPr="0085522F">
              <w:rPr>
                <w:rFonts w:ascii="Arial" w:hAnsi="Arial" w:cs="Arial"/>
                <w:color w:val="011E41"/>
                <w:sz w:val="24"/>
                <w:szCs w:val="24"/>
              </w:rPr>
              <w:t>Annual review</w:t>
            </w:r>
          </w:p>
        </w:tc>
      </w:tr>
    </w:tbl>
    <w:p w14:paraId="1DF15FCE" w14:textId="77777777" w:rsidR="00A14E1D" w:rsidRPr="00C30681" w:rsidRDefault="00A14E1D" w:rsidP="00A14E1D">
      <w:pPr>
        <w:spacing w:after="0" w:line="240" w:lineRule="auto"/>
        <w:rPr>
          <w:rFonts w:ascii="Arial" w:hAnsi="Arial" w:cs="Arial"/>
          <w:b/>
          <w:bCs/>
          <w:color w:val="011E41"/>
          <w:sz w:val="48"/>
          <w:szCs w:val="48"/>
        </w:rPr>
      </w:pPr>
    </w:p>
    <w:p w14:paraId="4FF535D4" w14:textId="46498E70" w:rsidR="00C30681" w:rsidRPr="00575637" w:rsidRDefault="00C30681" w:rsidP="00604CB8">
      <w:pPr>
        <w:ind w:left="-142"/>
        <w:rPr>
          <w:rFonts w:ascii="Arial" w:hAnsi="Arial" w:cs="Arial"/>
          <w:b/>
          <w:bCs/>
          <w:color w:val="011E41"/>
          <w:sz w:val="36"/>
          <w:szCs w:val="36"/>
        </w:rPr>
      </w:pPr>
    </w:p>
    <w:p w14:paraId="05EE6C7A" w14:textId="77777777" w:rsidR="00274B82" w:rsidRDefault="00274B82" w:rsidP="00274B82">
      <w:pPr>
        <w:autoSpaceDE w:val="0"/>
        <w:autoSpaceDN w:val="0"/>
        <w:adjustRightInd w:val="0"/>
        <w:jc w:val="center"/>
        <w:rPr>
          <w:rFonts w:ascii="Arial" w:eastAsia="Calibri" w:hAnsi="Arial" w:cs="Arial"/>
          <w:color w:val="000000"/>
          <w:sz w:val="24"/>
          <w:szCs w:val="24"/>
        </w:rPr>
      </w:pPr>
    </w:p>
    <w:p w14:paraId="1FAD9EF5" w14:textId="663A6DF4" w:rsidR="00274B82" w:rsidRDefault="00274B82" w:rsidP="00274B82">
      <w:pPr>
        <w:autoSpaceDE w:val="0"/>
        <w:autoSpaceDN w:val="0"/>
        <w:adjustRightInd w:val="0"/>
        <w:jc w:val="center"/>
        <w:rPr>
          <w:rFonts w:ascii="Arial" w:eastAsia="Calibri"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w:t>
      </w:r>
      <w:proofErr w:type="gramStart"/>
      <w:r w:rsidRPr="00274B82">
        <w:rPr>
          <w:rFonts w:ascii="Arial" w:eastAsia="Calibri" w:hAnsi="Arial" w:cs="Arial"/>
          <w:color w:val="000000"/>
          <w:sz w:val="24"/>
          <w:szCs w:val="24"/>
        </w:rPr>
        <w:t>Learners</w:t>
      </w:r>
      <w:proofErr w:type="gramEnd"/>
      <w:r w:rsidRPr="00274B82">
        <w:rPr>
          <w:rFonts w:ascii="Arial" w:eastAsia="Calibri" w:hAnsi="Arial" w:cs="Arial"/>
          <w:color w:val="000000"/>
          <w:sz w:val="24"/>
          <w:szCs w:val="24"/>
        </w:rPr>
        <w:t xml:space="preserve"> and Trainees (SALTs) who have chosen to study with SCIL to achieve </w:t>
      </w:r>
      <w:r w:rsidRPr="00274B82">
        <w:rPr>
          <w:rFonts w:ascii="Arial" w:eastAsia="Calibri" w:hAnsi="Arial" w:cs="Arial"/>
          <w:sz w:val="24"/>
          <w:szCs w:val="24"/>
        </w:rPr>
        <w:t>their full potential.</w:t>
      </w:r>
    </w:p>
    <w:p w14:paraId="6A990FEA" w14:textId="3BBF66AA" w:rsidR="0085522F" w:rsidRDefault="0085522F" w:rsidP="00274B82">
      <w:pPr>
        <w:autoSpaceDE w:val="0"/>
        <w:autoSpaceDN w:val="0"/>
        <w:adjustRightInd w:val="0"/>
        <w:jc w:val="center"/>
        <w:rPr>
          <w:rFonts w:ascii="Arial" w:eastAsia="Calibri" w:hAnsi="Arial" w:cs="Arial"/>
          <w:sz w:val="24"/>
          <w:szCs w:val="24"/>
        </w:rPr>
      </w:pPr>
    </w:p>
    <w:p w14:paraId="38D24A5F" w14:textId="767BEFCE" w:rsidR="0085522F" w:rsidRDefault="0085522F" w:rsidP="00274B82">
      <w:pPr>
        <w:autoSpaceDE w:val="0"/>
        <w:autoSpaceDN w:val="0"/>
        <w:adjustRightInd w:val="0"/>
        <w:jc w:val="center"/>
        <w:rPr>
          <w:rFonts w:ascii="Arial" w:eastAsia="Calibri" w:hAnsi="Arial" w:cs="Arial"/>
          <w:sz w:val="24"/>
          <w:szCs w:val="24"/>
        </w:rPr>
      </w:pPr>
    </w:p>
    <w:p w14:paraId="0BABB51D" w14:textId="554FD600" w:rsidR="0085522F" w:rsidRDefault="0085522F" w:rsidP="00274B82">
      <w:pPr>
        <w:autoSpaceDE w:val="0"/>
        <w:autoSpaceDN w:val="0"/>
        <w:adjustRightInd w:val="0"/>
        <w:jc w:val="center"/>
        <w:rPr>
          <w:rFonts w:ascii="Arial" w:eastAsia="Calibri" w:hAnsi="Arial" w:cs="Arial"/>
          <w:sz w:val="24"/>
          <w:szCs w:val="24"/>
        </w:rPr>
      </w:pPr>
    </w:p>
    <w:p w14:paraId="2558FCD8" w14:textId="77777777" w:rsidR="0085522F" w:rsidRPr="0085522F" w:rsidRDefault="0085522F" w:rsidP="0085522F">
      <w:pPr>
        <w:pStyle w:val="paragraph"/>
        <w:spacing w:before="0" w:beforeAutospacing="0" w:after="0" w:afterAutospacing="0"/>
        <w:ind w:left="360"/>
        <w:textAlignment w:val="baseline"/>
        <w:rPr>
          <w:rFonts w:ascii="Arial" w:hAnsi="Arial" w:cs="Arial"/>
        </w:rPr>
      </w:pPr>
      <w:r w:rsidRPr="0085522F">
        <w:rPr>
          <w:rStyle w:val="eop"/>
          <w:rFonts w:ascii="Arial" w:hAnsi="Arial" w:cs="Arial"/>
        </w:rPr>
        <w:t> </w:t>
      </w:r>
    </w:p>
    <w:p w14:paraId="61E8AD14"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Appendix 1 – Study Centre</w:t>
      </w:r>
      <w:r w:rsidRPr="0085522F">
        <w:rPr>
          <w:rStyle w:val="eop"/>
          <w:rFonts w:ascii="Arial" w:hAnsi="Arial" w:cs="Arial"/>
        </w:rPr>
        <w:t> </w:t>
      </w:r>
    </w:p>
    <w:p w14:paraId="3644C477"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0731C7CD"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Policy</w:t>
      </w:r>
      <w:r w:rsidRPr="0085522F">
        <w:rPr>
          <w:rStyle w:val="eop"/>
          <w:rFonts w:ascii="Arial" w:hAnsi="Arial" w:cs="Arial"/>
        </w:rPr>
        <w:t> </w:t>
      </w:r>
    </w:p>
    <w:p w14:paraId="1BCAAA4A"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48F38FCE"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A learner must produce valid and reliable evidence of prior learning to support any claims based on experience.  A learner may claim RPL against a whole unit or several units.  It is not possible to award part units, but where the RPL evidence does not fully meet the needs of a complete unit, the missing information may be provided via the same assessment processes that are undertaken by a taught group of learners.</w:t>
      </w:r>
      <w:r w:rsidRPr="0085522F">
        <w:rPr>
          <w:rStyle w:val="eop"/>
          <w:rFonts w:ascii="Arial" w:hAnsi="Arial" w:cs="Arial"/>
        </w:rPr>
        <w:t> </w:t>
      </w:r>
    </w:p>
    <w:p w14:paraId="42E0B12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40F8B414" w14:textId="77777777" w:rsidR="0085522F" w:rsidRPr="0085522F" w:rsidRDefault="0085522F" w:rsidP="0085522F">
      <w:pPr>
        <w:pStyle w:val="paragraph"/>
        <w:spacing w:before="0" w:beforeAutospacing="0" w:after="0" w:afterAutospacing="0"/>
        <w:textAlignment w:val="baseline"/>
        <w:rPr>
          <w:rFonts w:ascii="Arial" w:hAnsi="Arial" w:cs="Arial"/>
        </w:rPr>
      </w:pPr>
      <w:proofErr w:type="gramStart"/>
      <w:r w:rsidRPr="0085522F">
        <w:rPr>
          <w:rStyle w:val="normaltextrun"/>
          <w:rFonts w:ascii="Arial" w:hAnsi="Arial" w:cs="Arial"/>
        </w:rPr>
        <w:t>In order to</w:t>
      </w:r>
      <w:proofErr w:type="gramEnd"/>
      <w:r w:rsidRPr="0085522F">
        <w:rPr>
          <w:rStyle w:val="normaltextrun"/>
          <w:rFonts w:ascii="Arial" w:hAnsi="Arial" w:cs="Arial"/>
        </w:rPr>
        <w:t xml:space="preserve"> achieve recognition of achievement there are 2 options open to the learner: </w:t>
      </w:r>
      <w:r w:rsidRPr="0085522F">
        <w:rPr>
          <w:rStyle w:val="eop"/>
          <w:rFonts w:ascii="Arial" w:hAnsi="Arial" w:cs="Arial"/>
        </w:rPr>
        <w:t> </w:t>
      </w:r>
    </w:p>
    <w:p w14:paraId="202142BA" w14:textId="77777777" w:rsidR="0085522F" w:rsidRPr="0085522F" w:rsidRDefault="0085522F" w:rsidP="0085522F">
      <w:pPr>
        <w:pStyle w:val="paragraph"/>
        <w:numPr>
          <w:ilvl w:val="0"/>
          <w:numId w:val="25"/>
        </w:numPr>
        <w:spacing w:before="0" w:beforeAutospacing="0" w:after="0" w:afterAutospacing="0"/>
        <w:ind w:left="1080" w:firstLine="0"/>
        <w:textAlignment w:val="baseline"/>
        <w:rPr>
          <w:rFonts w:ascii="Arial" w:hAnsi="Arial" w:cs="Arial"/>
        </w:rPr>
      </w:pPr>
      <w:r w:rsidRPr="0085522F">
        <w:rPr>
          <w:rStyle w:val="normaltextrun"/>
          <w:rFonts w:ascii="Arial" w:hAnsi="Arial" w:cs="Arial"/>
        </w:rPr>
        <w:t>Undertake the same assessments as those following the formal course of learning and assessment that lead to the desired unit or qualification.  These assessments may be undertaken without attending teaching sessions.</w:t>
      </w:r>
      <w:r w:rsidRPr="0085522F">
        <w:rPr>
          <w:rStyle w:val="eop"/>
          <w:rFonts w:ascii="Arial" w:hAnsi="Arial" w:cs="Arial"/>
        </w:rPr>
        <w:t> </w:t>
      </w:r>
    </w:p>
    <w:p w14:paraId="37099CC8" w14:textId="77777777" w:rsidR="0085522F" w:rsidRPr="0085522F" w:rsidRDefault="0085522F" w:rsidP="0085522F">
      <w:pPr>
        <w:pStyle w:val="paragraph"/>
        <w:numPr>
          <w:ilvl w:val="0"/>
          <w:numId w:val="25"/>
        </w:numPr>
        <w:spacing w:before="0" w:beforeAutospacing="0" w:after="0" w:afterAutospacing="0"/>
        <w:ind w:left="1080" w:firstLine="0"/>
        <w:textAlignment w:val="baseline"/>
        <w:rPr>
          <w:rFonts w:ascii="Arial" w:hAnsi="Arial" w:cs="Arial"/>
        </w:rPr>
      </w:pPr>
      <w:r w:rsidRPr="0085522F">
        <w:rPr>
          <w:rStyle w:val="normaltextrun"/>
          <w:rFonts w:ascii="Arial" w:hAnsi="Arial" w:cs="Arial"/>
        </w:rPr>
        <w:t>Submit a portfolio of evidence based on previous learning, skills and or competence cross referenced to the learning outcomes and assessment criteria of the unit or units for which RPL is being sought.</w:t>
      </w:r>
      <w:r w:rsidRPr="0085522F">
        <w:rPr>
          <w:rStyle w:val="eop"/>
          <w:rFonts w:ascii="Arial" w:hAnsi="Arial" w:cs="Arial"/>
        </w:rPr>
        <w:t> </w:t>
      </w:r>
    </w:p>
    <w:p w14:paraId="06D07BE0" w14:textId="77777777" w:rsidR="0085522F" w:rsidRPr="0085522F" w:rsidRDefault="0085522F" w:rsidP="0085522F">
      <w:pPr>
        <w:pStyle w:val="paragraph"/>
        <w:spacing w:before="0" w:beforeAutospacing="0" w:after="0" w:afterAutospacing="0"/>
        <w:ind w:left="360"/>
        <w:textAlignment w:val="baseline"/>
        <w:rPr>
          <w:rFonts w:ascii="Arial" w:hAnsi="Arial" w:cs="Arial"/>
        </w:rPr>
      </w:pPr>
      <w:r w:rsidRPr="0085522F">
        <w:rPr>
          <w:rStyle w:val="eop"/>
          <w:rFonts w:ascii="Arial" w:hAnsi="Arial" w:cs="Arial"/>
        </w:rPr>
        <w:t> </w:t>
      </w:r>
    </w:p>
    <w:p w14:paraId="072D0457"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Under some circumstances there may be a limit to the proportion of a qualification that can be achieved by either credit transfer or RPL according to guidelines published from time to time by our Awarding organisations.</w:t>
      </w:r>
      <w:r w:rsidRPr="0085522F">
        <w:rPr>
          <w:rStyle w:val="eop"/>
          <w:rFonts w:ascii="Arial" w:hAnsi="Arial" w:cs="Arial"/>
        </w:rPr>
        <w:t> </w:t>
      </w:r>
    </w:p>
    <w:p w14:paraId="650C276A"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1E50F4FC"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The learner must play an active role in the process as s/he must produce evidence and map it to the learning outcomes and assessment criteria of all units s/he wishes to claim.</w:t>
      </w:r>
      <w:r w:rsidRPr="0085522F">
        <w:rPr>
          <w:rStyle w:val="eop"/>
          <w:rFonts w:ascii="Arial" w:hAnsi="Arial" w:cs="Arial"/>
        </w:rPr>
        <w:t> </w:t>
      </w:r>
    </w:p>
    <w:p w14:paraId="22D33B78"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1C9D2EDB"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Procedure</w:t>
      </w:r>
      <w:r w:rsidRPr="0085522F">
        <w:rPr>
          <w:rStyle w:val="eop"/>
          <w:rFonts w:ascii="Arial" w:hAnsi="Arial" w:cs="Arial"/>
        </w:rPr>
        <w:t> </w:t>
      </w:r>
    </w:p>
    <w:p w14:paraId="551B4D3E"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The process for RPL is outlined below, with common steps and actions outlined. The actual evidence required will depend upon the learning outcomes and the assessment criteria of the award.</w:t>
      </w:r>
      <w:r w:rsidRPr="0085522F">
        <w:rPr>
          <w:rStyle w:val="eop"/>
          <w:rFonts w:ascii="Arial" w:hAnsi="Arial" w:cs="Arial"/>
        </w:rPr>
        <w:t> </w:t>
      </w:r>
    </w:p>
    <w:p w14:paraId="136F1A8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28590F60"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 xml:space="preserve">Stage 1 – Awareness, </w:t>
      </w:r>
      <w:proofErr w:type="gramStart"/>
      <w:r w:rsidRPr="0085522F">
        <w:rPr>
          <w:rStyle w:val="normaltextrun"/>
          <w:rFonts w:ascii="Arial" w:hAnsi="Arial" w:cs="Arial"/>
          <w:b/>
          <w:bCs/>
        </w:rPr>
        <w:t>information</w:t>
      </w:r>
      <w:proofErr w:type="gramEnd"/>
      <w:r w:rsidRPr="0085522F">
        <w:rPr>
          <w:rStyle w:val="normaltextrun"/>
          <w:rFonts w:ascii="Arial" w:hAnsi="Arial" w:cs="Arial"/>
          <w:b/>
          <w:bCs/>
        </w:rPr>
        <w:t xml:space="preserve"> and guidance</w:t>
      </w:r>
      <w:r w:rsidRPr="0085522F">
        <w:rPr>
          <w:rStyle w:val="eop"/>
          <w:rFonts w:ascii="Arial" w:hAnsi="Arial" w:cs="Arial"/>
        </w:rPr>
        <w:t> </w:t>
      </w:r>
    </w:p>
    <w:p w14:paraId="7BAF8C0B"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Ahead of enrolling a potential SALT, the possibility that they may be able to claim credit for some of their previous learning should be raised with them. If the SALT is interested in this, they will need to know the:</w:t>
      </w:r>
      <w:r w:rsidRPr="0085522F">
        <w:rPr>
          <w:rStyle w:val="eop"/>
          <w:rFonts w:ascii="Arial" w:hAnsi="Arial" w:cs="Arial"/>
        </w:rPr>
        <w:t> </w:t>
      </w:r>
    </w:p>
    <w:p w14:paraId="189C8EB7" w14:textId="77777777" w:rsidR="0085522F" w:rsidRPr="0085522F" w:rsidRDefault="0085522F" w:rsidP="0085522F">
      <w:pPr>
        <w:pStyle w:val="paragraph"/>
        <w:numPr>
          <w:ilvl w:val="0"/>
          <w:numId w:val="26"/>
        </w:numPr>
        <w:spacing w:before="0" w:beforeAutospacing="0" w:after="0" w:afterAutospacing="0"/>
        <w:ind w:left="1080" w:firstLine="0"/>
        <w:textAlignment w:val="baseline"/>
        <w:rPr>
          <w:rFonts w:ascii="Arial" w:hAnsi="Arial" w:cs="Arial"/>
        </w:rPr>
      </w:pPr>
      <w:r w:rsidRPr="0085522F">
        <w:rPr>
          <w:rStyle w:val="normaltextrun"/>
          <w:rFonts w:ascii="Arial" w:hAnsi="Arial" w:cs="Arial"/>
        </w:rPr>
        <w:t>Process of claiming achievement by using RPL</w:t>
      </w:r>
      <w:r w:rsidRPr="0085522F">
        <w:rPr>
          <w:rStyle w:val="eop"/>
          <w:rFonts w:ascii="Arial" w:hAnsi="Arial" w:cs="Arial"/>
        </w:rPr>
        <w:t> </w:t>
      </w:r>
    </w:p>
    <w:p w14:paraId="491BBAC0" w14:textId="77777777" w:rsidR="0085522F" w:rsidRPr="0085522F" w:rsidRDefault="0085522F" w:rsidP="0085522F">
      <w:pPr>
        <w:pStyle w:val="paragraph"/>
        <w:numPr>
          <w:ilvl w:val="0"/>
          <w:numId w:val="26"/>
        </w:numPr>
        <w:spacing w:before="0" w:beforeAutospacing="0" w:after="0" w:afterAutospacing="0"/>
        <w:ind w:left="1080" w:firstLine="0"/>
        <w:textAlignment w:val="baseline"/>
        <w:rPr>
          <w:rFonts w:ascii="Arial" w:hAnsi="Arial" w:cs="Arial"/>
        </w:rPr>
      </w:pPr>
      <w:r w:rsidRPr="0085522F">
        <w:rPr>
          <w:rStyle w:val="normaltextrun"/>
          <w:rFonts w:ascii="Arial" w:hAnsi="Arial" w:cs="Arial"/>
        </w:rPr>
        <w:t>Sources of support and guidance available to them</w:t>
      </w:r>
      <w:r w:rsidRPr="0085522F">
        <w:rPr>
          <w:rStyle w:val="eop"/>
          <w:rFonts w:ascii="Arial" w:hAnsi="Arial" w:cs="Arial"/>
        </w:rPr>
        <w:t> </w:t>
      </w:r>
    </w:p>
    <w:p w14:paraId="47D84166" w14:textId="77777777" w:rsidR="0085522F" w:rsidRPr="0085522F" w:rsidRDefault="0085522F" w:rsidP="0085522F">
      <w:pPr>
        <w:pStyle w:val="paragraph"/>
        <w:numPr>
          <w:ilvl w:val="0"/>
          <w:numId w:val="26"/>
        </w:numPr>
        <w:spacing w:before="0" w:beforeAutospacing="0" w:after="0" w:afterAutospacing="0"/>
        <w:ind w:left="1080" w:firstLine="0"/>
        <w:textAlignment w:val="baseline"/>
        <w:rPr>
          <w:rFonts w:ascii="Arial" w:hAnsi="Arial" w:cs="Arial"/>
        </w:rPr>
      </w:pPr>
      <w:r w:rsidRPr="0085522F">
        <w:rPr>
          <w:rStyle w:val="normaltextrun"/>
          <w:rFonts w:ascii="Arial" w:hAnsi="Arial" w:cs="Arial"/>
        </w:rPr>
        <w:t>Timelines</w:t>
      </w:r>
      <w:r w:rsidRPr="0085522F">
        <w:rPr>
          <w:rStyle w:val="eop"/>
          <w:rFonts w:ascii="Arial" w:hAnsi="Arial" w:cs="Arial"/>
        </w:rPr>
        <w:t> </w:t>
      </w:r>
    </w:p>
    <w:p w14:paraId="4E51C43D" w14:textId="77777777" w:rsidR="0085522F" w:rsidRPr="0085522F" w:rsidRDefault="0085522F" w:rsidP="0085522F">
      <w:pPr>
        <w:pStyle w:val="paragraph"/>
        <w:numPr>
          <w:ilvl w:val="0"/>
          <w:numId w:val="26"/>
        </w:numPr>
        <w:spacing w:before="0" w:beforeAutospacing="0" w:after="0" w:afterAutospacing="0"/>
        <w:ind w:left="1080" w:firstLine="0"/>
        <w:textAlignment w:val="baseline"/>
        <w:rPr>
          <w:rFonts w:ascii="Arial" w:hAnsi="Arial" w:cs="Arial"/>
        </w:rPr>
      </w:pPr>
      <w:r w:rsidRPr="0085522F">
        <w:rPr>
          <w:rStyle w:val="normaltextrun"/>
          <w:rFonts w:ascii="Arial" w:hAnsi="Arial" w:cs="Arial"/>
        </w:rPr>
        <w:t xml:space="preserve">Appeals </w:t>
      </w:r>
      <w:proofErr w:type="gramStart"/>
      <w:r w:rsidRPr="0085522F">
        <w:rPr>
          <w:rStyle w:val="normaltextrun"/>
          <w:rFonts w:ascii="Arial" w:hAnsi="Arial" w:cs="Arial"/>
        </w:rPr>
        <w:t>processes</w:t>
      </w:r>
      <w:proofErr w:type="gramEnd"/>
      <w:r w:rsidRPr="0085522F">
        <w:rPr>
          <w:rStyle w:val="eop"/>
          <w:rFonts w:ascii="Arial" w:hAnsi="Arial" w:cs="Arial"/>
        </w:rPr>
        <w:t> </w:t>
      </w:r>
    </w:p>
    <w:p w14:paraId="31E23E5D"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4F7F465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 xml:space="preserve">Stage 2 – Pre-assessment/gathering evidence and giving </w:t>
      </w:r>
      <w:proofErr w:type="gramStart"/>
      <w:r w:rsidRPr="0085522F">
        <w:rPr>
          <w:rStyle w:val="normaltextrun"/>
          <w:rFonts w:ascii="Arial" w:hAnsi="Arial" w:cs="Arial"/>
          <w:b/>
          <w:bCs/>
        </w:rPr>
        <w:t>information</w:t>
      </w:r>
      <w:proofErr w:type="gramEnd"/>
      <w:r w:rsidRPr="0085522F">
        <w:rPr>
          <w:rStyle w:val="eop"/>
          <w:rFonts w:ascii="Arial" w:hAnsi="Arial" w:cs="Arial"/>
        </w:rPr>
        <w:t> </w:t>
      </w:r>
    </w:p>
    <w:p w14:paraId="60BA0ED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lastRenderedPageBreak/>
        <w:t>At this stage, the SALT will carry out the process of collecting evidence against the</w:t>
      </w:r>
      <w:r w:rsidRPr="0085522F">
        <w:rPr>
          <w:rStyle w:val="eop"/>
          <w:rFonts w:ascii="Arial" w:hAnsi="Arial" w:cs="Arial"/>
        </w:rPr>
        <w:t> </w:t>
      </w:r>
    </w:p>
    <w:p w14:paraId="5CD7E70E"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requirements of the relevant unit(s). In some cases, the development of an assessment plan and tracking document or similar may be required to support the learner through the process. The evidence gathered will need to meet the standards of the unit, or part of unit, that the evidence is being used for.</w:t>
      </w:r>
      <w:r w:rsidRPr="0085522F">
        <w:rPr>
          <w:rStyle w:val="eop"/>
          <w:rFonts w:ascii="Arial" w:hAnsi="Arial" w:cs="Arial"/>
        </w:rPr>
        <w:t> </w:t>
      </w:r>
    </w:p>
    <w:p w14:paraId="61C7F09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4E655E91"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Stage 3 – Assessment/documentation of evidence</w:t>
      </w:r>
      <w:r w:rsidRPr="0085522F">
        <w:rPr>
          <w:rStyle w:val="eop"/>
          <w:rFonts w:ascii="Arial" w:hAnsi="Arial" w:cs="Arial"/>
        </w:rPr>
        <w:t> </w:t>
      </w:r>
    </w:p>
    <w:p w14:paraId="21E9C3BC"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Assessment as part of RPL is a structured process for gathering and reviewing evidence and making judgments about a SALTs prior leaning and experience in relation to unit standards. </w:t>
      </w:r>
      <w:r w:rsidRPr="0085522F">
        <w:rPr>
          <w:rStyle w:val="eop"/>
          <w:rFonts w:ascii="Arial" w:hAnsi="Arial" w:cs="Arial"/>
        </w:rPr>
        <w:t> </w:t>
      </w:r>
    </w:p>
    <w:p w14:paraId="2006BBB8"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The proxy (assessor) will be looking at work experience records, validated by managers; previous portfolios of evidence put together by the learner or essays and reports validated as being the SALTs own unaided work. Assessment must be valid and reliable to ensure the integrity of the award of credit and, as above, the evidence gathered needs to meet the standards of the unit, or part of the unit, that the evidence is being used for.  </w:t>
      </w:r>
      <w:r w:rsidRPr="0085522F">
        <w:rPr>
          <w:rStyle w:val="eop"/>
          <w:rFonts w:ascii="Arial" w:hAnsi="Arial" w:cs="Arial"/>
        </w:rPr>
        <w:t> </w:t>
      </w:r>
    </w:p>
    <w:p w14:paraId="3D5C5311"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The prior achievement that would provide evidence of current knowledge will vary from sector to sector. The proxy must be satisfied that the evidence provided meets the assessment criteria for which it has been submitted and where evidence from prior learning is weak, the receiving assessor must plan further work with the SALT as appropriate.  </w:t>
      </w:r>
      <w:r w:rsidRPr="0085522F">
        <w:rPr>
          <w:rStyle w:val="eop"/>
          <w:rFonts w:ascii="Arial" w:hAnsi="Arial" w:cs="Arial"/>
        </w:rPr>
        <w:t> </w:t>
      </w:r>
    </w:p>
    <w:p w14:paraId="19EB891F"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7BF82AD9"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All prior learning that is submitted as evidence by a SALT must be complemented by a professional discussion to make sure the SALTs knowledge or the application of this knowledge meets the requirements of the assessment criteria.  </w:t>
      </w:r>
      <w:r w:rsidRPr="0085522F">
        <w:rPr>
          <w:rStyle w:val="eop"/>
          <w:rFonts w:ascii="Arial" w:hAnsi="Arial" w:cs="Arial"/>
        </w:rPr>
        <w:t> </w:t>
      </w:r>
    </w:p>
    <w:p w14:paraId="7A90B6B2"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1CBDD236"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The assessment process will be subject to the usual quality assurance procedures of the Centre, for example internal standardisation and internal verification as well as the awarding organisations quality assurance procedures.</w:t>
      </w:r>
      <w:r w:rsidRPr="0085522F">
        <w:rPr>
          <w:rStyle w:val="eop"/>
          <w:rFonts w:ascii="Arial" w:hAnsi="Arial" w:cs="Arial"/>
        </w:rPr>
        <w:t> </w:t>
      </w:r>
    </w:p>
    <w:p w14:paraId="39362BB9"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6E38245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 xml:space="preserve">Stage 4 – Claiming </w:t>
      </w:r>
      <w:proofErr w:type="gramStart"/>
      <w:r w:rsidRPr="0085522F">
        <w:rPr>
          <w:rStyle w:val="normaltextrun"/>
          <w:rFonts w:ascii="Arial" w:hAnsi="Arial" w:cs="Arial"/>
          <w:b/>
          <w:bCs/>
        </w:rPr>
        <w:t>certification</w:t>
      </w:r>
      <w:proofErr w:type="gramEnd"/>
      <w:r w:rsidRPr="0085522F">
        <w:rPr>
          <w:rStyle w:val="eop"/>
          <w:rFonts w:ascii="Arial" w:hAnsi="Arial" w:cs="Arial"/>
        </w:rPr>
        <w:t> </w:t>
      </w:r>
    </w:p>
    <w:p w14:paraId="7AD6BFB2"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Once the internal and external quality assurance procedures have been successfully completed, certification claims can be made by the Centre. Assessment and internal verification records, along with any additional RPL records completed, should be retained for the standard for a three-year period following certification.</w:t>
      </w:r>
      <w:r w:rsidRPr="0085522F">
        <w:rPr>
          <w:rStyle w:val="eop"/>
          <w:rFonts w:ascii="Arial" w:hAnsi="Arial" w:cs="Arial"/>
        </w:rPr>
        <w:t> </w:t>
      </w:r>
    </w:p>
    <w:p w14:paraId="1B850262"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58B920AC"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Stage 5 – Appeal</w:t>
      </w:r>
      <w:r w:rsidRPr="0085522F">
        <w:rPr>
          <w:rStyle w:val="eop"/>
          <w:rFonts w:ascii="Arial" w:hAnsi="Arial" w:cs="Arial"/>
        </w:rPr>
        <w:t> </w:t>
      </w:r>
    </w:p>
    <w:p w14:paraId="512753BB"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A SALT wishing to appeal against a decision made about their assessment will need to refer to the Assessment Policy.</w:t>
      </w:r>
      <w:r w:rsidRPr="0085522F">
        <w:rPr>
          <w:rStyle w:val="eop"/>
          <w:rFonts w:ascii="Arial" w:hAnsi="Arial" w:cs="Arial"/>
        </w:rPr>
        <w:t> </w:t>
      </w:r>
    </w:p>
    <w:p w14:paraId="6CC40054"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364D76B9"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Credit Accumulation and Transfers (CAT)</w:t>
      </w:r>
      <w:r w:rsidRPr="0085522F">
        <w:rPr>
          <w:rStyle w:val="eop"/>
          <w:rFonts w:ascii="Arial" w:hAnsi="Arial" w:cs="Arial"/>
        </w:rPr>
        <w:t> </w:t>
      </w:r>
    </w:p>
    <w:p w14:paraId="54D079BD" w14:textId="7B79CC5A"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Credit accumulation and transfer (CAT) is the system by which SALT</w:t>
      </w:r>
      <w:r w:rsidR="00F27D9D">
        <w:rPr>
          <w:rStyle w:val="normaltextrun"/>
          <w:rFonts w:ascii="Arial" w:hAnsi="Arial" w:cs="Arial"/>
        </w:rPr>
        <w:t>s</w:t>
      </w:r>
      <w:r w:rsidRPr="0085522F">
        <w:rPr>
          <w:rStyle w:val="normaltextrun"/>
          <w:rFonts w:ascii="Arial" w:hAnsi="Arial" w:cs="Arial"/>
        </w:rPr>
        <w:t xml:space="preserve"> can accumulate and transfer credits over </w:t>
      </w:r>
      <w:proofErr w:type="gramStart"/>
      <w:r w:rsidRPr="0085522F">
        <w:rPr>
          <w:rStyle w:val="normaltextrun"/>
          <w:rFonts w:ascii="Arial" w:hAnsi="Arial" w:cs="Arial"/>
        </w:rPr>
        <w:t>a period of time</w:t>
      </w:r>
      <w:proofErr w:type="gramEnd"/>
      <w:r w:rsidRPr="0085522F">
        <w:rPr>
          <w:rStyle w:val="normaltextrun"/>
          <w:rFonts w:ascii="Arial" w:hAnsi="Arial" w:cs="Arial"/>
        </w:rPr>
        <w:t xml:space="preserve">, in differing locations and contexts, in order to gain qualifications. Credit transfer is the process of using credit(s) awarded in the context of one qualification or awarded by a different awarding organisation towards the achievement requirements of another qualification.  CAT should be considered as a separate process to RPL as CAT </w:t>
      </w:r>
      <w:r w:rsidRPr="0085522F">
        <w:rPr>
          <w:rStyle w:val="normaltextrun"/>
          <w:rFonts w:ascii="Arial" w:hAnsi="Arial" w:cs="Arial"/>
        </w:rPr>
        <w:lastRenderedPageBreak/>
        <w:t>applies to learning that has been previously certified for a different regulated qualification or from a different Awarding Organisation on the same framework (RQF or QCF). This is to prevent a SALT from having to unnecessarily repeat previous learning.</w:t>
      </w:r>
      <w:r w:rsidRPr="0085522F">
        <w:rPr>
          <w:rStyle w:val="eop"/>
          <w:rFonts w:ascii="Arial" w:hAnsi="Arial" w:cs="Arial"/>
        </w:rPr>
        <w:t> </w:t>
      </w:r>
    </w:p>
    <w:p w14:paraId="5CDB1C07"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When a SALT believes they are eligible for CAT the centre will confirm their eligibility by...</w:t>
      </w:r>
      <w:r w:rsidRPr="0085522F">
        <w:rPr>
          <w:rStyle w:val="eop"/>
          <w:rFonts w:ascii="Arial" w:hAnsi="Arial" w:cs="Arial"/>
        </w:rPr>
        <w:t> </w:t>
      </w:r>
    </w:p>
    <w:p w14:paraId="5CCF269C"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Stage 1 – Confirmation of unit/qualification completion</w:t>
      </w:r>
      <w:r w:rsidRPr="0085522F">
        <w:rPr>
          <w:rStyle w:val="eop"/>
          <w:rFonts w:ascii="Arial" w:hAnsi="Arial" w:cs="Arial"/>
        </w:rPr>
        <w:t> </w:t>
      </w:r>
    </w:p>
    <w:p w14:paraId="1209285C"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The SALT will provide the centre copy(s) of the certificates relating to the unit or qualification to be considered for CAT.</w:t>
      </w:r>
      <w:r w:rsidRPr="0085522F">
        <w:rPr>
          <w:rStyle w:val="eop"/>
          <w:rFonts w:ascii="Arial" w:hAnsi="Arial" w:cs="Arial"/>
        </w:rPr>
        <w:t> </w:t>
      </w:r>
    </w:p>
    <w:p w14:paraId="045E044D"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Stage 2 – Centre confirmation of eligibility for CAT.</w:t>
      </w:r>
      <w:r w:rsidRPr="0085522F">
        <w:rPr>
          <w:rStyle w:val="eop"/>
          <w:rFonts w:ascii="Arial" w:hAnsi="Arial" w:cs="Arial"/>
        </w:rPr>
        <w:t> </w:t>
      </w:r>
    </w:p>
    <w:p w14:paraId="25D7BE43"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 xml:space="preserve">The centre will confirm with the awarding organisation that CAT is available for the completed units/qualifications and are nested within the qualification being undertaken.  For example:  Where a SALT has achieved the NCFE Level 4 Award in the Internal Quality Assurance of Assessment Processes and Practice (QN: 501/0889/X) unit 01 and 02 must be achieved.  To achieve the NCFE Level 4 Certificate in Leading the Internal Quality Assurance of Assessment Processes and Practice (QN: 501/0890/6), the additional unit 03 </w:t>
      </w:r>
      <w:proofErr w:type="gramStart"/>
      <w:r w:rsidRPr="0085522F">
        <w:rPr>
          <w:rStyle w:val="normaltextrun"/>
          <w:rFonts w:ascii="Arial" w:hAnsi="Arial" w:cs="Arial"/>
        </w:rPr>
        <w:t>has to</w:t>
      </w:r>
      <w:proofErr w:type="gramEnd"/>
      <w:r w:rsidRPr="0085522F">
        <w:rPr>
          <w:rStyle w:val="normaltextrun"/>
          <w:rFonts w:ascii="Arial" w:hAnsi="Arial" w:cs="Arial"/>
        </w:rPr>
        <w:t xml:space="preserve"> be achieved.  Therefore, a SALT may be eligible to CAT unit 01 and unit 02 in the achievement of the level 4 certificate. Once confirmation of eligibility of CAT has been received the centre will claim the achieved qualification following the awarding organisations procedures.</w:t>
      </w:r>
      <w:r w:rsidRPr="0085522F">
        <w:rPr>
          <w:rStyle w:val="eop"/>
          <w:rFonts w:ascii="Arial" w:hAnsi="Arial" w:cs="Arial"/>
        </w:rPr>
        <w:t> </w:t>
      </w:r>
    </w:p>
    <w:p w14:paraId="60AAE45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Records of CAT will be kept in line with the centre and awarding organisations policies and procedures.  </w:t>
      </w:r>
      <w:r w:rsidRPr="0085522F">
        <w:rPr>
          <w:rStyle w:val="eop"/>
          <w:rFonts w:ascii="Arial" w:hAnsi="Arial" w:cs="Arial"/>
        </w:rPr>
        <w:t> </w:t>
      </w:r>
    </w:p>
    <w:p w14:paraId="28EC6E6B" w14:textId="1C52CE10"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1154CF59"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7DA33FF4"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rPr>
        <w:t> </w:t>
      </w:r>
    </w:p>
    <w:p w14:paraId="7AD95D70" w14:textId="77777777" w:rsidR="0085522F" w:rsidRPr="0085522F" w:rsidRDefault="0085522F" w:rsidP="0085522F">
      <w:pPr>
        <w:pStyle w:val="paragraph"/>
        <w:spacing w:before="0" w:beforeAutospacing="0" w:after="0" w:afterAutospacing="0"/>
        <w:jc w:val="both"/>
        <w:textAlignment w:val="baseline"/>
        <w:rPr>
          <w:rFonts w:ascii="Arial" w:hAnsi="Arial" w:cs="Arial"/>
        </w:rPr>
      </w:pPr>
      <w:r w:rsidRPr="0085522F">
        <w:rPr>
          <w:rStyle w:val="normaltextrun"/>
          <w:rFonts w:ascii="Arial" w:hAnsi="Arial" w:cs="Arial"/>
          <w:b/>
          <w:bCs/>
        </w:rPr>
        <w:t>Appendix 2 - Higher Education Courses</w:t>
      </w:r>
      <w:r w:rsidRPr="0085522F">
        <w:rPr>
          <w:rStyle w:val="eop"/>
          <w:rFonts w:ascii="Arial" w:hAnsi="Arial" w:cs="Arial"/>
        </w:rPr>
        <w:t> </w:t>
      </w:r>
    </w:p>
    <w:p w14:paraId="7FE27DCE"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Foundation Degree, BA Professional Practice and Somerset SCITT</w:t>
      </w:r>
      <w:r w:rsidRPr="0085522F">
        <w:rPr>
          <w:rStyle w:val="eop"/>
          <w:rFonts w:ascii="Arial" w:hAnsi="Arial" w:cs="Arial"/>
        </w:rPr>
        <w:t> </w:t>
      </w:r>
    </w:p>
    <w:p w14:paraId="2F014C3C"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rPr>
        <w:t>If a SALT on one of the above courses believes they have appropriate prior learning they would like to claim RPL for, SCIL will follow the University of Worcester policies relating to the Recognition of Prior Learning, which can be found on the University of Worcester Registry webpage (link below).</w:t>
      </w:r>
      <w:r w:rsidRPr="0085522F">
        <w:rPr>
          <w:rStyle w:val="eop"/>
          <w:rFonts w:ascii="Arial" w:hAnsi="Arial" w:cs="Arial"/>
        </w:rPr>
        <w:t> </w:t>
      </w:r>
    </w:p>
    <w:p w14:paraId="5FD67223" w14:textId="77777777" w:rsidR="0085522F" w:rsidRPr="0085522F" w:rsidRDefault="0085522F" w:rsidP="0085522F">
      <w:pPr>
        <w:pStyle w:val="paragraph"/>
        <w:spacing w:before="0" w:beforeAutospacing="0" w:after="0" w:afterAutospacing="0"/>
        <w:ind w:left="-285"/>
        <w:textAlignment w:val="baseline"/>
        <w:rPr>
          <w:rFonts w:ascii="Arial" w:hAnsi="Arial" w:cs="Arial"/>
        </w:rPr>
      </w:pPr>
      <w:r w:rsidRPr="0085522F">
        <w:rPr>
          <w:rStyle w:val="eop"/>
          <w:rFonts w:ascii="Arial" w:hAnsi="Arial" w:cs="Arial"/>
        </w:rPr>
        <w:t> </w:t>
      </w:r>
    </w:p>
    <w:p w14:paraId="40E58879" w14:textId="77777777" w:rsidR="0085522F" w:rsidRPr="0085522F" w:rsidRDefault="0085522F" w:rsidP="0085522F">
      <w:pPr>
        <w:pStyle w:val="paragraph"/>
        <w:spacing w:before="0" w:beforeAutospacing="0" w:after="0" w:afterAutospacing="0"/>
        <w:ind w:left="-285"/>
        <w:textAlignment w:val="baseline"/>
        <w:rPr>
          <w:rFonts w:ascii="Arial" w:hAnsi="Arial" w:cs="Arial"/>
        </w:rPr>
      </w:pPr>
      <w:hyperlink r:id="rId13" w:tgtFrame="_blank" w:history="1">
        <w:r w:rsidRPr="0085522F">
          <w:rPr>
            <w:rStyle w:val="normaltextrun"/>
            <w:rFonts w:ascii="Arial" w:hAnsi="Arial" w:cs="Arial"/>
            <w:color w:val="0000FF"/>
            <w:u w:val="single"/>
          </w:rPr>
          <w:t>ProceduresfortheRecognitionofPriorLearning.pdf (worc.ac.uk)</w:t>
        </w:r>
      </w:hyperlink>
      <w:r w:rsidRPr="0085522F">
        <w:rPr>
          <w:rStyle w:val="eop"/>
          <w:rFonts w:ascii="Arial" w:hAnsi="Arial" w:cs="Arial"/>
        </w:rPr>
        <w:t> </w:t>
      </w:r>
    </w:p>
    <w:p w14:paraId="40B1690B" w14:textId="77777777" w:rsidR="0085522F" w:rsidRPr="0085522F" w:rsidRDefault="0085522F" w:rsidP="0085522F">
      <w:pPr>
        <w:pStyle w:val="paragraph"/>
        <w:spacing w:before="0" w:beforeAutospacing="0" w:after="0" w:afterAutospacing="0"/>
        <w:ind w:left="-285"/>
        <w:textAlignment w:val="baseline"/>
        <w:rPr>
          <w:rFonts w:ascii="Arial" w:hAnsi="Arial" w:cs="Arial"/>
        </w:rPr>
      </w:pPr>
      <w:r w:rsidRPr="0085522F">
        <w:rPr>
          <w:rStyle w:val="eop"/>
          <w:rFonts w:ascii="Arial" w:hAnsi="Arial" w:cs="Arial"/>
        </w:rPr>
        <w:t> </w:t>
      </w:r>
    </w:p>
    <w:p w14:paraId="711791BA" w14:textId="77777777" w:rsidR="0085522F" w:rsidRPr="0085522F" w:rsidRDefault="0085522F" w:rsidP="0085522F">
      <w:pPr>
        <w:pStyle w:val="paragraph"/>
        <w:spacing w:before="0" w:beforeAutospacing="0" w:after="0" w:afterAutospacing="0"/>
        <w:ind w:left="-285"/>
        <w:textAlignment w:val="baseline"/>
        <w:rPr>
          <w:rFonts w:ascii="Arial" w:hAnsi="Arial" w:cs="Arial"/>
        </w:rPr>
      </w:pPr>
      <w:r w:rsidRPr="0085522F">
        <w:rPr>
          <w:rStyle w:val="eop"/>
          <w:rFonts w:ascii="Arial" w:hAnsi="Arial" w:cs="Arial"/>
        </w:rPr>
        <w:t> </w:t>
      </w:r>
    </w:p>
    <w:p w14:paraId="303E7865" w14:textId="77777777" w:rsidR="0085522F" w:rsidRPr="0085522F" w:rsidRDefault="0085522F" w:rsidP="0085522F">
      <w:pPr>
        <w:pStyle w:val="paragraph"/>
        <w:spacing w:before="0" w:beforeAutospacing="0" w:after="0" w:afterAutospacing="0"/>
        <w:ind w:left="-285"/>
        <w:textAlignment w:val="baseline"/>
        <w:rPr>
          <w:rFonts w:ascii="Arial" w:hAnsi="Arial" w:cs="Arial"/>
        </w:rPr>
      </w:pPr>
      <w:r w:rsidRPr="0085522F">
        <w:rPr>
          <w:rStyle w:val="eop"/>
          <w:rFonts w:ascii="Arial" w:hAnsi="Arial" w:cs="Arial"/>
        </w:rPr>
        <w:t> </w:t>
      </w:r>
    </w:p>
    <w:p w14:paraId="679D7CDA" w14:textId="77777777" w:rsidR="0085522F" w:rsidRPr="0085522F" w:rsidRDefault="0085522F" w:rsidP="0085522F">
      <w:pPr>
        <w:pStyle w:val="paragraph"/>
        <w:spacing w:before="0" w:beforeAutospacing="0" w:after="0" w:afterAutospacing="0"/>
        <w:ind w:left="-285"/>
        <w:textAlignment w:val="baseline"/>
        <w:rPr>
          <w:rFonts w:ascii="Arial" w:hAnsi="Arial" w:cs="Arial"/>
        </w:rPr>
      </w:pPr>
      <w:r w:rsidRPr="0085522F">
        <w:rPr>
          <w:rStyle w:val="eop"/>
          <w:rFonts w:ascii="Arial" w:hAnsi="Arial" w:cs="Arial"/>
        </w:rPr>
        <w:t> </w:t>
      </w:r>
    </w:p>
    <w:p w14:paraId="1FCB9FF3"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rPr>
        <w:t>Appendix 3 – Apprenticeships </w:t>
      </w:r>
      <w:r w:rsidRPr="0085522F">
        <w:rPr>
          <w:rStyle w:val="eop"/>
          <w:rFonts w:ascii="Arial" w:hAnsi="Arial" w:cs="Arial"/>
        </w:rPr>
        <w:t> </w:t>
      </w:r>
    </w:p>
    <w:p w14:paraId="61C3DE34"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color w:val="0B0C0C"/>
        </w:rPr>
        <w:t>1. Initial assessment</w:t>
      </w:r>
      <w:r w:rsidRPr="0085522F">
        <w:rPr>
          <w:rStyle w:val="eop"/>
          <w:rFonts w:ascii="Arial" w:hAnsi="Arial" w:cs="Arial"/>
          <w:color w:val="0B0C0C"/>
        </w:rPr>
        <w:t> </w:t>
      </w:r>
    </w:p>
    <w:p w14:paraId="3230622F"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color w:val="0B0C0C"/>
        </w:rPr>
        <w:t>Before an apprenticeship begins, the main training provider must assess the individual’s prior learning to establish the ‘starting point’, or baseline, of the apprentice. Initial assessment checks that the apprenticeship is an appropriate programme for the individual. The initial assessment checks how much of the apprenticeship programme the individual requires to reach occupational competency. The main training provider is responsible for doing the initial assessment.</w:t>
      </w:r>
      <w:r w:rsidRPr="0085522F">
        <w:rPr>
          <w:rStyle w:val="eop"/>
          <w:rFonts w:ascii="Arial" w:hAnsi="Arial" w:cs="Arial"/>
          <w:color w:val="0B0C0C"/>
        </w:rPr>
        <w:t> </w:t>
      </w:r>
    </w:p>
    <w:p w14:paraId="05337121"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color w:val="0B0C0C"/>
        </w:rPr>
        <w:t>2. What counts as prior learning?</w:t>
      </w:r>
      <w:r w:rsidRPr="0085522F">
        <w:rPr>
          <w:rStyle w:val="eop"/>
          <w:rFonts w:ascii="Arial" w:hAnsi="Arial" w:cs="Arial"/>
          <w:color w:val="0B0C0C"/>
        </w:rPr>
        <w:t> </w:t>
      </w:r>
    </w:p>
    <w:p w14:paraId="2187C07A"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color w:val="0B0C0C"/>
        </w:rPr>
        <w:lastRenderedPageBreak/>
        <w:t>In recognising prior learning, the following should be considered against the knowledge, skills and behaviours set out in the standard or framework:</w:t>
      </w:r>
      <w:r w:rsidRPr="0085522F">
        <w:rPr>
          <w:rStyle w:val="eop"/>
          <w:rFonts w:ascii="Arial" w:hAnsi="Arial" w:cs="Arial"/>
          <w:color w:val="0B0C0C"/>
        </w:rPr>
        <w:t> </w:t>
      </w:r>
    </w:p>
    <w:p w14:paraId="6FEFD8B7" w14:textId="77777777" w:rsidR="0085522F" w:rsidRPr="0085522F" w:rsidRDefault="0085522F" w:rsidP="0085522F">
      <w:pPr>
        <w:pStyle w:val="paragraph"/>
        <w:numPr>
          <w:ilvl w:val="0"/>
          <w:numId w:val="27"/>
        </w:numPr>
        <w:spacing w:before="0" w:beforeAutospacing="0" w:after="0" w:afterAutospacing="0"/>
        <w:ind w:left="660" w:firstLine="0"/>
        <w:textAlignment w:val="baseline"/>
        <w:rPr>
          <w:rFonts w:ascii="Arial" w:hAnsi="Arial" w:cs="Arial"/>
        </w:rPr>
      </w:pPr>
      <w:r w:rsidRPr="0085522F">
        <w:rPr>
          <w:rStyle w:val="normaltextrun"/>
          <w:rFonts w:ascii="Arial" w:hAnsi="Arial" w:cs="Arial"/>
          <w:color w:val="0B0C0C"/>
        </w:rPr>
        <w:t>Work experience (this is particularly important if the apprentice is an existing employee</w:t>
      </w:r>
      <w:proofErr w:type="gramStart"/>
      <w:r w:rsidRPr="0085522F">
        <w:rPr>
          <w:rStyle w:val="normaltextrun"/>
          <w:rFonts w:ascii="Arial" w:hAnsi="Arial" w:cs="Arial"/>
          <w:color w:val="0B0C0C"/>
        </w:rPr>
        <w:t>);</w:t>
      </w:r>
      <w:proofErr w:type="gramEnd"/>
      <w:r w:rsidRPr="0085522F">
        <w:rPr>
          <w:rStyle w:val="eop"/>
          <w:rFonts w:ascii="Arial" w:hAnsi="Arial" w:cs="Arial"/>
          <w:color w:val="0B0C0C"/>
        </w:rPr>
        <w:t> </w:t>
      </w:r>
    </w:p>
    <w:p w14:paraId="5F59E0DC" w14:textId="77777777" w:rsidR="0085522F" w:rsidRPr="0085522F" w:rsidRDefault="0085522F" w:rsidP="0085522F">
      <w:pPr>
        <w:pStyle w:val="paragraph"/>
        <w:numPr>
          <w:ilvl w:val="0"/>
          <w:numId w:val="27"/>
        </w:numPr>
        <w:spacing w:before="0" w:beforeAutospacing="0" w:after="0" w:afterAutospacing="0"/>
        <w:ind w:left="660" w:firstLine="0"/>
        <w:textAlignment w:val="baseline"/>
        <w:rPr>
          <w:rFonts w:ascii="Arial" w:hAnsi="Arial" w:cs="Arial"/>
        </w:rPr>
      </w:pPr>
      <w:r w:rsidRPr="0085522F">
        <w:rPr>
          <w:rStyle w:val="normaltextrun"/>
          <w:rFonts w:ascii="Arial" w:hAnsi="Arial" w:cs="Arial"/>
          <w:color w:val="0B0C0C"/>
        </w:rPr>
        <w:t xml:space="preserve">Prior education, </w:t>
      </w:r>
      <w:proofErr w:type="gramStart"/>
      <w:r w:rsidRPr="0085522F">
        <w:rPr>
          <w:rStyle w:val="normaltextrun"/>
          <w:rFonts w:ascii="Arial" w:hAnsi="Arial" w:cs="Arial"/>
          <w:color w:val="0B0C0C"/>
        </w:rPr>
        <w:t>training</w:t>
      </w:r>
      <w:proofErr w:type="gramEnd"/>
      <w:r w:rsidRPr="0085522F">
        <w:rPr>
          <w:rStyle w:val="normaltextrun"/>
          <w:rFonts w:ascii="Arial" w:hAnsi="Arial" w:cs="Arial"/>
          <w:color w:val="0B0C0C"/>
        </w:rPr>
        <w:t xml:space="preserve"> or associated qualification(s) in a related sector subject area (this goes beyond just English and maths); and</w:t>
      </w:r>
      <w:r w:rsidRPr="0085522F">
        <w:rPr>
          <w:rStyle w:val="eop"/>
          <w:rFonts w:ascii="Arial" w:hAnsi="Arial" w:cs="Arial"/>
          <w:color w:val="0B0C0C"/>
        </w:rPr>
        <w:t> </w:t>
      </w:r>
    </w:p>
    <w:p w14:paraId="161445D8" w14:textId="77777777" w:rsidR="0085522F" w:rsidRPr="0085522F" w:rsidRDefault="0085522F" w:rsidP="0085522F">
      <w:pPr>
        <w:pStyle w:val="paragraph"/>
        <w:numPr>
          <w:ilvl w:val="0"/>
          <w:numId w:val="27"/>
        </w:numPr>
        <w:spacing w:before="0" w:beforeAutospacing="0" w:after="0" w:afterAutospacing="0"/>
        <w:ind w:left="660" w:firstLine="0"/>
        <w:textAlignment w:val="baseline"/>
        <w:rPr>
          <w:rFonts w:ascii="Arial" w:hAnsi="Arial" w:cs="Arial"/>
        </w:rPr>
      </w:pPr>
      <w:r w:rsidRPr="0085522F">
        <w:rPr>
          <w:rStyle w:val="normaltextrun"/>
          <w:rFonts w:ascii="Arial" w:hAnsi="Arial" w:cs="Arial"/>
          <w:color w:val="0B0C0C"/>
        </w:rPr>
        <w:t xml:space="preserve">Any previous apprenticeship </w:t>
      </w:r>
      <w:proofErr w:type="gramStart"/>
      <w:r w:rsidRPr="0085522F">
        <w:rPr>
          <w:rStyle w:val="normaltextrun"/>
          <w:rFonts w:ascii="Arial" w:hAnsi="Arial" w:cs="Arial"/>
          <w:color w:val="0B0C0C"/>
        </w:rPr>
        <w:t>undertaken</w:t>
      </w:r>
      <w:proofErr w:type="gramEnd"/>
      <w:r w:rsidRPr="0085522F">
        <w:rPr>
          <w:rStyle w:val="eop"/>
          <w:rFonts w:ascii="Arial" w:hAnsi="Arial" w:cs="Arial"/>
          <w:color w:val="0B0C0C"/>
        </w:rPr>
        <w:t> </w:t>
      </w:r>
    </w:p>
    <w:p w14:paraId="22C834DB" w14:textId="77777777" w:rsidR="0085522F" w:rsidRPr="0085522F" w:rsidRDefault="0085522F" w:rsidP="0085522F">
      <w:pPr>
        <w:pStyle w:val="paragraph"/>
        <w:spacing w:before="0" w:beforeAutospacing="0" w:after="0" w:afterAutospacing="0"/>
        <w:ind w:left="-60"/>
        <w:textAlignment w:val="baseline"/>
        <w:rPr>
          <w:rFonts w:ascii="Arial" w:hAnsi="Arial" w:cs="Arial"/>
        </w:rPr>
      </w:pPr>
      <w:r w:rsidRPr="0085522F">
        <w:rPr>
          <w:rStyle w:val="eop"/>
          <w:rFonts w:ascii="Arial" w:hAnsi="Arial" w:cs="Arial"/>
          <w:color w:val="0B0C0C"/>
        </w:rPr>
        <w:t> </w:t>
      </w:r>
    </w:p>
    <w:p w14:paraId="75A070AD"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color w:val="0B0C0C"/>
        </w:rPr>
        <w:t>3. How is prior learning assessed?</w:t>
      </w:r>
      <w:r w:rsidRPr="0085522F">
        <w:rPr>
          <w:rStyle w:val="eop"/>
          <w:rFonts w:ascii="Arial" w:hAnsi="Arial" w:cs="Arial"/>
          <w:color w:val="0B0C0C"/>
        </w:rPr>
        <w:t> </w:t>
      </w:r>
    </w:p>
    <w:p w14:paraId="270F82C1"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color w:val="0B0C0C"/>
        </w:rPr>
        <w:t xml:space="preserve">ESFA does not mandate how a provider assesses or determines prior learning, just that it must be </w:t>
      </w:r>
      <w:proofErr w:type="gramStart"/>
      <w:r w:rsidRPr="0085522F">
        <w:rPr>
          <w:rStyle w:val="normaltextrun"/>
          <w:rFonts w:ascii="Arial" w:hAnsi="Arial" w:cs="Arial"/>
          <w:color w:val="0B0C0C"/>
        </w:rPr>
        <w:t>done</w:t>
      </w:r>
      <w:proofErr w:type="gramEnd"/>
      <w:r w:rsidRPr="0085522F">
        <w:rPr>
          <w:rStyle w:val="normaltextrun"/>
          <w:rFonts w:ascii="Arial" w:hAnsi="Arial" w:cs="Arial"/>
          <w:color w:val="0B0C0C"/>
        </w:rPr>
        <w:t xml:space="preserve"> and the findings taken account of. The relevant apprenticeship framework or standard should normally be used as the basis for initial assessment.</w:t>
      </w:r>
      <w:r w:rsidRPr="0085522F">
        <w:rPr>
          <w:rStyle w:val="eop"/>
          <w:rFonts w:ascii="Arial" w:hAnsi="Arial" w:cs="Arial"/>
          <w:color w:val="0B0C0C"/>
        </w:rPr>
        <w:t> </w:t>
      </w:r>
    </w:p>
    <w:p w14:paraId="1917DACA"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color w:val="0B0C0C"/>
        </w:rPr>
        <w:t>4. How should prior learning be recorded?</w:t>
      </w:r>
      <w:r w:rsidRPr="0085522F">
        <w:rPr>
          <w:rStyle w:val="eop"/>
          <w:rFonts w:ascii="Arial" w:hAnsi="Arial" w:cs="Arial"/>
          <w:color w:val="0B0C0C"/>
        </w:rPr>
        <w:t> </w:t>
      </w:r>
    </w:p>
    <w:p w14:paraId="43314575"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color w:val="0B0C0C"/>
        </w:rPr>
        <w:t>The ESFA does not mandate how prior learning should be recorded, only that the initial assessment must be documented in the evidence pack and summarised on the commitment statement. </w:t>
      </w:r>
      <w:r w:rsidRPr="0085522F">
        <w:rPr>
          <w:rStyle w:val="eop"/>
          <w:rFonts w:ascii="Arial" w:hAnsi="Arial" w:cs="Arial"/>
          <w:color w:val="0B0C0C"/>
        </w:rPr>
        <w:t> </w:t>
      </w:r>
    </w:p>
    <w:p w14:paraId="54427DAF"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color w:val="0B0C0C"/>
        </w:rPr>
        <w:t>5. How does recognition of prior learning feed into funding negotiations?</w:t>
      </w:r>
      <w:r w:rsidRPr="0085522F">
        <w:rPr>
          <w:rStyle w:val="eop"/>
          <w:rFonts w:ascii="Arial" w:hAnsi="Arial" w:cs="Arial"/>
          <w:color w:val="0B0C0C"/>
        </w:rPr>
        <w:t> </w:t>
      </w:r>
    </w:p>
    <w:p w14:paraId="15DC76CC"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color w:val="0B0C0C"/>
        </w:rPr>
        <w:t xml:space="preserve">The funding band of the apprenticeship is based on an apprentice requiring the full content of the apprenticeship, and in the case of standards this means all the listed knowledge, </w:t>
      </w:r>
      <w:proofErr w:type="gramStart"/>
      <w:r w:rsidRPr="0085522F">
        <w:rPr>
          <w:rStyle w:val="normaltextrun"/>
          <w:rFonts w:ascii="Arial" w:hAnsi="Arial" w:cs="Arial"/>
          <w:color w:val="0B0C0C"/>
        </w:rPr>
        <w:t>skills</w:t>
      </w:r>
      <w:proofErr w:type="gramEnd"/>
      <w:r w:rsidRPr="0085522F">
        <w:rPr>
          <w:rStyle w:val="normaltextrun"/>
          <w:rFonts w:ascii="Arial" w:hAnsi="Arial" w:cs="Arial"/>
          <w:color w:val="0B0C0C"/>
        </w:rPr>
        <w:t xml:space="preserve"> and behaviours. A negotiation between training provider and the employer will take place should prior learning be applicable,</w:t>
      </w:r>
      <w:r w:rsidRPr="0085522F">
        <w:rPr>
          <w:rStyle w:val="eop"/>
          <w:rFonts w:ascii="Arial" w:hAnsi="Arial" w:cs="Arial"/>
          <w:color w:val="0B0C0C"/>
        </w:rPr>
        <w:t> </w:t>
      </w:r>
    </w:p>
    <w:p w14:paraId="45C629E1"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eop"/>
          <w:rFonts w:ascii="Arial" w:hAnsi="Arial" w:cs="Arial"/>
          <w:color w:val="0B0C0C"/>
        </w:rPr>
        <w:t> </w:t>
      </w:r>
    </w:p>
    <w:p w14:paraId="5E41784D"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color w:val="0B0C0C"/>
        </w:rPr>
        <w:t>6. How does this all link to a 12-month minimum duration and off-the-job training?</w:t>
      </w:r>
      <w:r w:rsidRPr="0085522F">
        <w:rPr>
          <w:rStyle w:val="eop"/>
          <w:rFonts w:ascii="Arial" w:hAnsi="Arial" w:cs="Arial"/>
          <w:color w:val="0B0C0C"/>
        </w:rPr>
        <w:t> </w:t>
      </w:r>
    </w:p>
    <w:p w14:paraId="10B0FA77"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color w:val="0B0C0C"/>
        </w:rPr>
        <w:t>Where there is prior learning, the content and duration of the apprenticeship must be reduced to reflect this. The new (reduced) duration must still meet the minimum threshold of 12 months.</w:t>
      </w:r>
      <w:r w:rsidRPr="0085522F">
        <w:rPr>
          <w:rStyle w:val="eop"/>
          <w:rFonts w:ascii="Arial" w:hAnsi="Arial" w:cs="Arial"/>
          <w:color w:val="0B0C0C"/>
        </w:rPr>
        <w:t> </w:t>
      </w:r>
    </w:p>
    <w:p w14:paraId="70856E8F"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b/>
          <w:bCs/>
          <w:color w:val="0B0C0C"/>
        </w:rPr>
        <w:t xml:space="preserve">7. How is recognition of prior learning </w:t>
      </w:r>
      <w:proofErr w:type="gramStart"/>
      <w:r w:rsidRPr="0085522F">
        <w:rPr>
          <w:rStyle w:val="normaltextrun"/>
          <w:rFonts w:ascii="Arial" w:hAnsi="Arial" w:cs="Arial"/>
          <w:b/>
          <w:bCs/>
          <w:color w:val="0B0C0C"/>
        </w:rPr>
        <w:t>taken into account</w:t>
      </w:r>
      <w:proofErr w:type="gramEnd"/>
      <w:r w:rsidRPr="0085522F">
        <w:rPr>
          <w:rStyle w:val="normaltextrun"/>
          <w:rFonts w:ascii="Arial" w:hAnsi="Arial" w:cs="Arial"/>
          <w:b/>
          <w:bCs/>
          <w:color w:val="0B0C0C"/>
        </w:rPr>
        <w:t xml:space="preserve"> when applying to be on the Register of Apprenticeship Training Providers?</w:t>
      </w:r>
      <w:r w:rsidRPr="0085522F">
        <w:rPr>
          <w:rStyle w:val="eop"/>
          <w:rFonts w:ascii="Arial" w:hAnsi="Arial" w:cs="Arial"/>
          <w:color w:val="0B0C0C"/>
        </w:rPr>
        <w:t> </w:t>
      </w:r>
    </w:p>
    <w:p w14:paraId="49EF6127" w14:textId="77777777" w:rsidR="0085522F" w:rsidRPr="0085522F" w:rsidRDefault="0085522F" w:rsidP="0085522F">
      <w:pPr>
        <w:pStyle w:val="paragraph"/>
        <w:spacing w:before="0" w:beforeAutospacing="0" w:after="0" w:afterAutospacing="0"/>
        <w:textAlignment w:val="baseline"/>
        <w:rPr>
          <w:rFonts w:ascii="Arial" w:hAnsi="Arial" w:cs="Arial"/>
        </w:rPr>
      </w:pPr>
      <w:r w:rsidRPr="0085522F">
        <w:rPr>
          <w:rStyle w:val="normaltextrun"/>
          <w:rFonts w:ascii="Arial" w:hAnsi="Arial" w:cs="Arial"/>
          <w:color w:val="0B0C0C"/>
        </w:rPr>
        <w:t>ESFA apprenticeship funding rules require main training providers and employer providers to take account of prior learning. As part of the Register of Apprenticeship Training Providers (</w:t>
      </w:r>
      <w:proofErr w:type="spellStart"/>
      <w:r w:rsidRPr="0085522F">
        <w:rPr>
          <w:rStyle w:val="normaltextrun"/>
          <w:rFonts w:ascii="Arial" w:hAnsi="Arial" w:cs="Arial"/>
          <w:color w:val="0B0C0C"/>
        </w:rPr>
        <w:t>RoATP</w:t>
      </w:r>
      <w:proofErr w:type="spellEnd"/>
      <w:r w:rsidRPr="0085522F">
        <w:rPr>
          <w:rStyle w:val="normaltextrun"/>
          <w:rFonts w:ascii="Arial" w:hAnsi="Arial" w:cs="Arial"/>
          <w:color w:val="0B0C0C"/>
        </w:rPr>
        <w:t>) application processes, main providers and employer providers must submit their policy on how they will perform initial assessments of apprentices’ prior learning.</w:t>
      </w:r>
      <w:r w:rsidRPr="0085522F">
        <w:rPr>
          <w:rStyle w:val="eop"/>
          <w:rFonts w:ascii="Arial" w:hAnsi="Arial" w:cs="Arial"/>
          <w:color w:val="0B0C0C"/>
        </w:rPr>
        <w:t> </w:t>
      </w:r>
    </w:p>
    <w:p w14:paraId="72D1AE3D" w14:textId="77777777" w:rsidR="0085522F" w:rsidRPr="00274B82" w:rsidRDefault="0085522F" w:rsidP="0085522F">
      <w:pPr>
        <w:autoSpaceDE w:val="0"/>
        <w:autoSpaceDN w:val="0"/>
        <w:adjustRightInd w:val="0"/>
        <w:rPr>
          <w:rFonts w:ascii="Arial" w:hAnsi="Arial" w:cs="Arial"/>
          <w:sz w:val="24"/>
          <w:szCs w:val="24"/>
        </w:rPr>
      </w:pPr>
    </w:p>
    <w:sectPr w:rsidR="0085522F" w:rsidRPr="00274B82" w:rsidSect="00541401">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71EF" w14:textId="77777777" w:rsidR="00AC527E" w:rsidRDefault="00AC527E" w:rsidP="00222A6E">
      <w:pPr>
        <w:spacing w:after="0" w:line="240" w:lineRule="auto"/>
      </w:pPr>
      <w:r>
        <w:separator/>
      </w:r>
    </w:p>
  </w:endnote>
  <w:endnote w:type="continuationSeparator" w:id="0">
    <w:p w14:paraId="182E62E2" w14:textId="77777777" w:rsidR="00AC527E" w:rsidRDefault="00AC527E" w:rsidP="00222A6E">
      <w:pPr>
        <w:spacing w:after="0" w:line="240" w:lineRule="auto"/>
      </w:pPr>
      <w:r>
        <w:continuationSeparator/>
      </w:r>
    </w:p>
  </w:endnote>
  <w:endnote w:type="continuationNotice" w:id="1">
    <w:p w14:paraId="40EAB550" w14:textId="77777777" w:rsidR="00AC527E" w:rsidRDefault="00AC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288233B6"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85522F">
                            <w:rPr>
                              <w:rFonts w:ascii="Arial" w:hAnsi="Arial" w:cs="Arial"/>
                              <w:b/>
                              <w:bCs/>
                              <w:color w:val="FFFFFF" w:themeColor="background1"/>
                            </w:rPr>
                            <w:t>November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2"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288233B6"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85522F">
                      <w:rPr>
                        <w:rFonts w:ascii="Arial" w:hAnsi="Arial" w:cs="Arial"/>
                        <w:b/>
                        <w:bCs/>
                        <w:color w:val="FFFFFF" w:themeColor="background1"/>
                      </w:rPr>
                      <w:t>November 2022</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D641" w14:textId="77777777" w:rsidR="00AC527E" w:rsidRDefault="00AC527E" w:rsidP="00222A6E">
      <w:pPr>
        <w:spacing w:after="0" w:line="240" w:lineRule="auto"/>
      </w:pPr>
      <w:r>
        <w:separator/>
      </w:r>
    </w:p>
  </w:footnote>
  <w:footnote w:type="continuationSeparator" w:id="0">
    <w:p w14:paraId="2A337EC7" w14:textId="77777777" w:rsidR="00AC527E" w:rsidRDefault="00AC527E" w:rsidP="00222A6E">
      <w:pPr>
        <w:spacing w:after="0" w:line="240" w:lineRule="auto"/>
      </w:pPr>
      <w:r>
        <w:continuationSeparator/>
      </w:r>
    </w:p>
  </w:footnote>
  <w:footnote w:type="continuationNotice" w:id="1">
    <w:p w14:paraId="73C59F9A" w14:textId="77777777" w:rsidR="00AC527E" w:rsidRDefault="00AC5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A7AF5"/>
    <w:multiLevelType w:val="multilevel"/>
    <w:tmpl w:val="9DDA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25710"/>
    <w:multiLevelType w:val="multilevel"/>
    <w:tmpl w:val="757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6E16"/>
    <w:multiLevelType w:val="multilevel"/>
    <w:tmpl w:val="25D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1" w15:restartNumberingAfterBreak="0">
    <w:nsid w:val="6F5E49E1"/>
    <w:multiLevelType w:val="multilevel"/>
    <w:tmpl w:val="054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4"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25"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23"/>
  </w:num>
  <w:num w:numId="2" w16cid:durableId="116418603">
    <w:abstractNumId w:val="4"/>
  </w:num>
  <w:num w:numId="3" w16cid:durableId="301497653">
    <w:abstractNumId w:val="18"/>
  </w:num>
  <w:num w:numId="4" w16cid:durableId="1389110930">
    <w:abstractNumId w:val="15"/>
  </w:num>
  <w:num w:numId="5" w16cid:durableId="1038819762">
    <w:abstractNumId w:val="11"/>
  </w:num>
  <w:num w:numId="6" w16cid:durableId="374164089">
    <w:abstractNumId w:val="9"/>
  </w:num>
  <w:num w:numId="7" w16cid:durableId="593972605">
    <w:abstractNumId w:val="1"/>
  </w:num>
  <w:num w:numId="8" w16cid:durableId="1515027518">
    <w:abstractNumId w:val="16"/>
  </w:num>
  <w:num w:numId="9" w16cid:durableId="720322818">
    <w:abstractNumId w:val="13"/>
  </w:num>
  <w:num w:numId="10" w16cid:durableId="473840895">
    <w:abstractNumId w:val="25"/>
  </w:num>
  <w:num w:numId="11" w16cid:durableId="499002243">
    <w:abstractNumId w:val="20"/>
  </w:num>
  <w:num w:numId="12" w16cid:durableId="1314603233">
    <w:abstractNumId w:val="17"/>
  </w:num>
  <w:num w:numId="13" w16cid:durableId="832641607">
    <w:abstractNumId w:val="5"/>
  </w:num>
  <w:num w:numId="14" w16cid:durableId="1519923364">
    <w:abstractNumId w:val="26"/>
  </w:num>
  <w:num w:numId="15" w16cid:durableId="2003508221">
    <w:abstractNumId w:val="3"/>
  </w:num>
  <w:num w:numId="16" w16cid:durableId="1040401510">
    <w:abstractNumId w:val="6"/>
  </w:num>
  <w:num w:numId="17" w16cid:durableId="1468547310">
    <w:abstractNumId w:val="12"/>
  </w:num>
  <w:num w:numId="18" w16cid:durableId="1202787988">
    <w:abstractNumId w:val="24"/>
  </w:num>
  <w:num w:numId="19" w16cid:durableId="1694381031">
    <w:abstractNumId w:val="10"/>
  </w:num>
  <w:num w:numId="20" w16cid:durableId="1834760416">
    <w:abstractNumId w:val="0"/>
  </w:num>
  <w:num w:numId="21" w16cid:durableId="637146815">
    <w:abstractNumId w:val="8"/>
  </w:num>
  <w:num w:numId="22" w16cid:durableId="1361853752">
    <w:abstractNumId w:val="7"/>
  </w:num>
  <w:num w:numId="23" w16cid:durableId="1030061819">
    <w:abstractNumId w:val="22"/>
  </w:num>
  <w:num w:numId="24" w16cid:durableId="117376073">
    <w:abstractNumId w:val="2"/>
  </w:num>
  <w:num w:numId="25" w16cid:durableId="274023477">
    <w:abstractNumId w:val="19"/>
  </w:num>
  <w:num w:numId="26" w16cid:durableId="1461534163">
    <w:abstractNumId w:val="14"/>
  </w:num>
  <w:num w:numId="27" w16cid:durableId="20747419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D4B21"/>
    <w:rsid w:val="001207A9"/>
    <w:rsid w:val="001236BA"/>
    <w:rsid w:val="00143D6D"/>
    <w:rsid w:val="00145419"/>
    <w:rsid w:val="001C6067"/>
    <w:rsid w:val="00222A6E"/>
    <w:rsid w:val="002513EB"/>
    <w:rsid w:val="00274B82"/>
    <w:rsid w:val="002C3183"/>
    <w:rsid w:val="002F16D4"/>
    <w:rsid w:val="002F7B4E"/>
    <w:rsid w:val="00340EB4"/>
    <w:rsid w:val="0040473E"/>
    <w:rsid w:val="0042119E"/>
    <w:rsid w:val="00430D76"/>
    <w:rsid w:val="0048462B"/>
    <w:rsid w:val="004A7702"/>
    <w:rsid w:val="004C1EC6"/>
    <w:rsid w:val="00541401"/>
    <w:rsid w:val="00547CE8"/>
    <w:rsid w:val="005636A9"/>
    <w:rsid w:val="00575637"/>
    <w:rsid w:val="00594C5D"/>
    <w:rsid w:val="005C693D"/>
    <w:rsid w:val="00604CB8"/>
    <w:rsid w:val="0063558E"/>
    <w:rsid w:val="0065347B"/>
    <w:rsid w:val="00653E31"/>
    <w:rsid w:val="006D0B42"/>
    <w:rsid w:val="006D6549"/>
    <w:rsid w:val="00711A88"/>
    <w:rsid w:val="007574AF"/>
    <w:rsid w:val="00765760"/>
    <w:rsid w:val="007A63B5"/>
    <w:rsid w:val="007B6D0F"/>
    <w:rsid w:val="007C1493"/>
    <w:rsid w:val="00825018"/>
    <w:rsid w:val="0085522F"/>
    <w:rsid w:val="00876B0D"/>
    <w:rsid w:val="008F4558"/>
    <w:rsid w:val="00917B07"/>
    <w:rsid w:val="009205DF"/>
    <w:rsid w:val="00932F4C"/>
    <w:rsid w:val="0095754A"/>
    <w:rsid w:val="009716EC"/>
    <w:rsid w:val="0097339A"/>
    <w:rsid w:val="0098695B"/>
    <w:rsid w:val="00A00F55"/>
    <w:rsid w:val="00A14E1D"/>
    <w:rsid w:val="00A20D07"/>
    <w:rsid w:val="00A26A8C"/>
    <w:rsid w:val="00AC296A"/>
    <w:rsid w:val="00AC527E"/>
    <w:rsid w:val="00B32FF7"/>
    <w:rsid w:val="00B473A5"/>
    <w:rsid w:val="00B756AD"/>
    <w:rsid w:val="00B83C68"/>
    <w:rsid w:val="00B9580B"/>
    <w:rsid w:val="00BC665D"/>
    <w:rsid w:val="00C12289"/>
    <w:rsid w:val="00C14140"/>
    <w:rsid w:val="00C27611"/>
    <w:rsid w:val="00C30681"/>
    <w:rsid w:val="00C71287"/>
    <w:rsid w:val="00CC33F2"/>
    <w:rsid w:val="00D349E0"/>
    <w:rsid w:val="00D54817"/>
    <w:rsid w:val="00D72966"/>
    <w:rsid w:val="00E30CFD"/>
    <w:rsid w:val="00F24FCE"/>
    <w:rsid w:val="00F27D9D"/>
    <w:rsid w:val="00F66C20"/>
    <w:rsid w:val="00FB62D6"/>
    <w:rsid w:val="00FD02DA"/>
    <w:rsid w:val="00FE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 w:type="paragraph" w:customStyle="1" w:styleId="paragraph">
    <w:name w:val="paragraph"/>
    <w:basedOn w:val="Normal"/>
    <w:rsid w:val="00855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5522F"/>
  </w:style>
  <w:style w:type="character" w:customStyle="1" w:styleId="normaltextrun">
    <w:name w:val="normaltextrun"/>
    <w:basedOn w:val="DefaultParagraphFont"/>
    <w:rsid w:val="0085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14555">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5">
          <w:marLeft w:val="0"/>
          <w:marRight w:val="0"/>
          <w:marTop w:val="0"/>
          <w:marBottom w:val="0"/>
          <w:divBdr>
            <w:top w:val="none" w:sz="0" w:space="0" w:color="auto"/>
            <w:left w:val="none" w:sz="0" w:space="0" w:color="auto"/>
            <w:bottom w:val="none" w:sz="0" w:space="0" w:color="auto"/>
            <w:right w:val="none" w:sz="0" w:space="0" w:color="auto"/>
          </w:divBdr>
        </w:div>
        <w:div w:id="1638147442">
          <w:marLeft w:val="0"/>
          <w:marRight w:val="0"/>
          <w:marTop w:val="0"/>
          <w:marBottom w:val="0"/>
          <w:divBdr>
            <w:top w:val="none" w:sz="0" w:space="0" w:color="auto"/>
            <w:left w:val="none" w:sz="0" w:space="0" w:color="auto"/>
            <w:bottom w:val="none" w:sz="0" w:space="0" w:color="auto"/>
            <w:right w:val="none" w:sz="0" w:space="0" w:color="auto"/>
          </w:divBdr>
        </w:div>
        <w:div w:id="193661949">
          <w:marLeft w:val="0"/>
          <w:marRight w:val="0"/>
          <w:marTop w:val="0"/>
          <w:marBottom w:val="0"/>
          <w:divBdr>
            <w:top w:val="none" w:sz="0" w:space="0" w:color="auto"/>
            <w:left w:val="none" w:sz="0" w:space="0" w:color="auto"/>
            <w:bottom w:val="none" w:sz="0" w:space="0" w:color="auto"/>
            <w:right w:val="none" w:sz="0" w:space="0" w:color="auto"/>
          </w:divBdr>
        </w:div>
        <w:div w:id="1778867335">
          <w:marLeft w:val="0"/>
          <w:marRight w:val="0"/>
          <w:marTop w:val="0"/>
          <w:marBottom w:val="0"/>
          <w:divBdr>
            <w:top w:val="none" w:sz="0" w:space="0" w:color="auto"/>
            <w:left w:val="none" w:sz="0" w:space="0" w:color="auto"/>
            <w:bottom w:val="none" w:sz="0" w:space="0" w:color="auto"/>
            <w:right w:val="none" w:sz="0" w:space="0" w:color="auto"/>
          </w:divBdr>
        </w:div>
        <w:div w:id="1562016308">
          <w:marLeft w:val="0"/>
          <w:marRight w:val="0"/>
          <w:marTop w:val="0"/>
          <w:marBottom w:val="0"/>
          <w:divBdr>
            <w:top w:val="none" w:sz="0" w:space="0" w:color="auto"/>
            <w:left w:val="none" w:sz="0" w:space="0" w:color="auto"/>
            <w:bottom w:val="none" w:sz="0" w:space="0" w:color="auto"/>
            <w:right w:val="none" w:sz="0" w:space="0" w:color="auto"/>
          </w:divBdr>
        </w:div>
        <w:div w:id="1028526975">
          <w:marLeft w:val="0"/>
          <w:marRight w:val="0"/>
          <w:marTop w:val="0"/>
          <w:marBottom w:val="0"/>
          <w:divBdr>
            <w:top w:val="none" w:sz="0" w:space="0" w:color="auto"/>
            <w:left w:val="none" w:sz="0" w:space="0" w:color="auto"/>
            <w:bottom w:val="none" w:sz="0" w:space="0" w:color="auto"/>
            <w:right w:val="none" w:sz="0" w:space="0" w:color="auto"/>
          </w:divBdr>
        </w:div>
        <w:div w:id="1946379107">
          <w:marLeft w:val="0"/>
          <w:marRight w:val="0"/>
          <w:marTop w:val="0"/>
          <w:marBottom w:val="0"/>
          <w:divBdr>
            <w:top w:val="none" w:sz="0" w:space="0" w:color="auto"/>
            <w:left w:val="none" w:sz="0" w:space="0" w:color="auto"/>
            <w:bottom w:val="none" w:sz="0" w:space="0" w:color="auto"/>
            <w:right w:val="none" w:sz="0" w:space="0" w:color="auto"/>
          </w:divBdr>
        </w:div>
        <w:div w:id="1743524741">
          <w:marLeft w:val="0"/>
          <w:marRight w:val="0"/>
          <w:marTop w:val="0"/>
          <w:marBottom w:val="0"/>
          <w:divBdr>
            <w:top w:val="none" w:sz="0" w:space="0" w:color="auto"/>
            <w:left w:val="none" w:sz="0" w:space="0" w:color="auto"/>
            <w:bottom w:val="none" w:sz="0" w:space="0" w:color="auto"/>
            <w:right w:val="none" w:sz="0" w:space="0" w:color="auto"/>
          </w:divBdr>
        </w:div>
        <w:div w:id="1410496198">
          <w:marLeft w:val="0"/>
          <w:marRight w:val="0"/>
          <w:marTop w:val="0"/>
          <w:marBottom w:val="0"/>
          <w:divBdr>
            <w:top w:val="none" w:sz="0" w:space="0" w:color="auto"/>
            <w:left w:val="none" w:sz="0" w:space="0" w:color="auto"/>
            <w:bottom w:val="none" w:sz="0" w:space="0" w:color="auto"/>
            <w:right w:val="none" w:sz="0" w:space="0" w:color="auto"/>
          </w:divBdr>
        </w:div>
        <w:div w:id="1088693960">
          <w:marLeft w:val="0"/>
          <w:marRight w:val="0"/>
          <w:marTop w:val="0"/>
          <w:marBottom w:val="0"/>
          <w:divBdr>
            <w:top w:val="none" w:sz="0" w:space="0" w:color="auto"/>
            <w:left w:val="none" w:sz="0" w:space="0" w:color="auto"/>
            <w:bottom w:val="none" w:sz="0" w:space="0" w:color="auto"/>
            <w:right w:val="none" w:sz="0" w:space="0" w:color="auto"/>
          </w:divBdr>
        </w:div>
        <w:div w:id="1491866934">
          <w:marLeft w:val="0"/>
          <w:marRight w:val="0"/>
          <w:marTop w:val="0"/>
          <w:marBottom w:val="0"/>
          <w:divBdr>
            <w:top w:val="none" w:sz="0" w:space="0" w:color="auto"/>
            <w:left w:val="none" w:sz="0" w:space="0" w:color="auto"/>
            <w:bottom w:val="none" w:sz="0" w:space="0" w:color="auto"/>
            <w:right w:val="none" w:sz="0" w:space="0" w:color="auto"/>
          </w:divBdr>
        </w:div>
        <w:div w:id="993484131">
          <w:marLeft w:val="0"/>
          <w:marRight w:val="0"/>
          <w:marTop w:val="0"/>
          <w:marBottom w:val="0"/>
          <w:divBdr>
            <w:top w:val="none" w:sz="0" w:space="0" w:color="auto"/>
            <w:left w:val="none" w:sz="0" w:space="0" w:color="auto"/>
            <w:bottom w:val="none" w:sz="0" w:space="0" w:color="auto"/>
            <w:right w:val="none" w:sz="0" w:space="0" w:color="auto"/>
          </w:divBdr>
        </w:div>
        <w:div w:id="817453055">
          <w:marLeft w:val="0"/>
          <w:marRight w:val="0"/>
          <w:marTop w:val="0"/>
          <w:marBottom w:val="0"/>
          <w:divBdr>
            <w:top w:val="none" w:sz="0" w:space="0" w:color="auto"/>
            <w:left w:val="none" w:sz="0" w:space="0" w:color="auto"/>
            <w:bottom w:val="none" w:sz="0" w:space="0" w:color="auto"/>
            <w:right w:val="none" w:sz="0" w:space="0" w:color="auto"/>
          </w:divBdr>
        </w:div>
        <w:div w:id="1818721533">
          <w:marLeft w:val="0"/>
          <w:marRight w:val="0"/>
          <w:marTop w:val="0"/>
          <w:marBottom w:val="0"/>
          <w:divBdr>
            <w:top w:val="none" w:sz="0" w:space="0" w:color="auto"/>
            <w:left w:val="none" w:sz="0" w:space="0" w:color="auto"/>
            <w:bottom w:val="none" w:sz="0" w:space="0" w:color="auto"/>
            <w:right w:val="none" w:sz="0" w:space="0" w:color="auto"/>
          </w:divBdr>
        </w:div>
        <w:div w:id="305552614">
          <w:marLeft w:val="0"/>
          <w:marRight w:val="0"/>
          <w:marTop w:val="0"/>
          <w:marBottom w:val="0"/>
          <w:divBdr>
            <w:top w:val="none" w:sz="0" w:space="0" w:color="auto"/>
            <w:left w:val="none" w:sz="0" w:space="0" w:color="auto"/>
            <w:bottom w:val="none" w:sz="0" w:space="0" w:color="auto"/>
            <w:right w:val="none" w:sz="0" w:space="0" w:color="auto"/>
          </w:divBdr>
        </w:div>
        <w:div w:id="198324791">
          <w:marLeft w:val="0"/>
          <w:marRight w:val="0"/>
          <w:marTop w:val="0"/>
          <w:marBottom w:val="0"/>
          <w:divBdr>
            <w:top w:val="none" w:sz="0" w:space="0" w:color="auto"/>
            <w:left w:val="none" w:sz="0" w:space="0" w:color="auto"/>
            <w:bottom w:val="none" w:sz="0" w:space="0" w:color="auto"/>
            <w:right w:val="none" w:sz="0" w:space="0" w:color="auto"/>
          </w:divBdr>
        </w:div>
        <w:div w:id="2044865932">
          <w:marLeft w:val="0"/>
          <w:marRight w:val="0"/>
          <w:marTop w:val="0"/>
          <w:marBottom w:val="0"/>
          <w:divBdr>
            <w:top w:val="none" w:sz="0" w:space="0" w:color="auto"/>
            <w:left w:val="none" w:sz="0" w:space="0" w:color="auto"/>
            <w:bottom w:val="none" w:sz="0" w:space="0" w:color="auto"/>
            <w:right w:val="none" w:sz="0" w:space="0" w:color="auto"/>
          </w:divBdr>
        </w:div>
        <w:div w:id="1485389554">
          <w:marLeft w:val="0"/>
          <w:marRight w:val="0"/>
          <w:marTop w:val="0"/>
          <w:marBottom w:val="0"/>
          <w:divBdr>
            <w:top w:val="none" w:sz="0" w:space="0" w:color="auto"/>
            <w:left w:val="none" w:sz="0" w:space="0" w:color="auto"/>
            <w:bottom w:val="none" w:sz="0" w:space="0" w:color="auto"/>
            <w:right w:val="none" w:sz="0" w:space="0" w:color="auto"/>
          </w:divBdr>
        </w:div>
        <w:div w:id="2008361759">
          <w:marLeft w:val="0"/>
          <w:marRight w:val="0"/>
          <w:marTop w:val="0"/>
          <w:marBottom w:val="0"/>
          <w:divBdr>
            <w:top w:val="none" w:sz="0" w:space="0" w:color="auto"/>
            <w:left w:val="none" w:sz="0" w:space="0" w:color="auto"/>
            <w:bottom w:val="none" w:sz="0" w:space="0" w:color="auto"/>
            <w:right w:val="none" w:sz="0" w:space="0" w:color="auto"/>
          </w:divBdr>
        </w:div>
        <w:div w:id="1377510109">
          <w:marLeft w:val="0"/>
          <w:marRight w:val="0"/>
          <w:marTop w:val="0"/>
          <w:marBottom w:val="0"/>
          <w:divBdr>
            <w:top w:val="none" w:sz="0" w:space="0" w:color="auto"/>
            <w:left w:val="none" w:sz="0" w:space="0" w:color="auto"/>
            <w:bottom w:val="none" w:sz="0" w:space="0" w:color="auto"/>
            <w:right w:val="none" w:sz="0" w:space="0" w:color="auto"/>
          </w:divBdr>
        </w:div>
        <w:div w:id="293410271">
          <w:marLeft w:val="0"/>
          <w:marRight w:val="0"/>
          <w:marTop w:val="0"/>
          <w:marBottom w:val="0"/>
          <w:divBdr>
            <w:top w:val="none" w:sz="0" w:space="0" w:color="auto"/>
            <w:left w:val="none" w:sz="0" w:space="0" w:color="auto"/>
            <w:bottom w:val="none" w:sz="0" w:space="0" w:color="auto"/>
            <w:right w:val="none" w:sz="0" w:space="0" w:color="auto"/>
          </w:divBdr>
        </w:div>
        <w:div w:id="690957749">
          <w:marLeft w:val="0"/>
          <w:marRight w:val="0"/>
          <w:marTop w:val="0"/>
          <w:marBottom w:val="0"/>
          <w:divBdr>
            <w:top w:val="none" w:sz="0" w:space="0" w:color="auto"/>
            <w:left w:val="none" w:sz="0" w:space="0" w:color="auto"/>
            <w:bottom w:val="none" w:sz="0" w:space="0" w:color="auto"/>
            <w:right w:val="none" w:sz="0" w:space="0" w:color="auto"/>
          </w:divBdr>
        </w:div>
        <w:div w:id="2136436689">
          <w:marLeft w:val="0"/>
          <w:marRight w:val="0"/>
          <w:marTop w:val="0"/>
          <w:marBottom w:val="0"/>
          <w:divBdr>
            <w:top w:val="none" w:sz="0" w:space="0" w:color="auto"/>
            <w:left w:val="none" w:sz="0" w:space="0" w:color="auto"/>
            <w:bottom w:val="none" w:sz="0" w:space="0" w:color="auto"/>
            <w:right w:val="none" w:sz="0" w:space="0" w:color="auto"/>
          </w:divBdr>
        </w:div>
        <w:div w:id="1504779430">
          <w:marLeft w:val="0"/>
          <w:marRight w:val="0"/>
          <w:marTop w:val="0"/>
          <w:marBottom w:val="0"/>
          <w:divBdr>
            <w:top w:val="none" w:sz="0" w:space="0" w:color="auto"/>
            <w:left w:val="none" w:sz="0" w:space="0" w:color="auto"/>
            <w:bottom w:val="none" w:sz="0" w:space="0" w:color="auto"/>
            <w:right w:val="none" w:sz="0" w:space="0" w:color="auto"/>
          </w:divBdr>
        </w:div>
        <w:div w:id="443353704">
          <w:marLeft w:val="0"/>
          <w:marRight w:val="0"/>
          <w:marTop w:val="0"/>
          <w:marBottom w:val="0"/>
          <w:divBdr>
            <w:top w:val="none" w:sz="0" w:space="0" w:color="auto"/>
            <w:left w:val="none" w:sz="0" w:space="0" w:color="auto"/>
            <w:bottom w:val="none" w:sz="0" w:space="0" w:color="auto"/>
            <w:right w:val="none" w:sz="0" w:space="0" w:color="auto"/>
          </w:divBdr>
        </w:div>
        <w:div w:id="1385593382">
          <w:marLeft w:val="0"/>
          <w:marRight w:val="0"/>
          <w:marTop w:val="0"/>
          <w:marBottom w:val="0"/>
          <w:divBdr>
            <w:top w:val="none" w:sz="0" w:space="0" w:color="auto"/>
            <w:left w:val="none" w:sz="0" w:space="0" w:color="auto"/>
            <w:bottom w:val="none" w:sz="0" w:space="0" w:color="auto"/>
            <w:right w:val="none" w:sz="0" w:space="0" w:color="auto"/>
          </w:divBdr>
        </w:div>
        <w:div w:id="536045409">
          <w:marLeft w:val="0"/>
          <w:marRight w:val="0"/>
          <w:marTop w:val="0"/>
          <w:marBottom w:val="0"/>
          <w:divBdr>
            <w:top w:val="none" w:sz="0" w:space="0" w:color="auto"/>
            <w:left w:val="none" w:sz="0" w:space="0" w:color="auto"/>
            <w:bottom w:val="none" w:sz="0" w:space="0" w:color="auto"/>
            <w:right w:val="none" w:sz="0" w:space="0" w:color="auto"/>
          </w:divBdr>
        </w:div>
        <w:div w:id="618612809">
          <w:marLeft w:val="0"/>
          <w:marRight w:val="0"/>
          <w:marTop w:val="0"/>
          <w:marBottom w:val="0"/>
          <w:divBdr>
            <w:top w:val="none" w:sz="0" w:space="0" w:color="auto"/>
            <w:left w:val="none" w:sz="0" w:space="0" w:color="auto"/>
            <w:bottom w:val="none" w:sz="0" w:space="0" w:color="auto"/>
            <w:right w:val="none" w:sz="0" w:space="0" w:color="auto"/>
          </w:divBdr>
        </w:div>
        <w:div w:id="1208880039">
          <w:marLeft w:val="0"/>
          <w:marRight w:val="0"/>
          <w:marTop w:val="0"/>
          <w:marBottom w:val="0"/>
          <w:divBdr>
            <w:top w:val="none" w:sz="0" w:space="0" w:color="auto"/>
            <w:left w:val="none" w:sz="0" w:space="0" w:color="auto"/>
            <w:bottom w:val="none" w:sz="0" w:space="0" w:color="auto"/>
            <w:right w:val="none" w:sz="0" w:space="0" w:color="auto"/>
          </w:divBdr>
        </w:div>
        <w:div w:id="53823261">
          <w:marLeft w:val="0"/>
          <w:marRight w:val="0"/>
          <w:marTop w:val="0"/>
          <w:marBottom w:val="0"/>
          <w:divBdr>
            <w:top w:val="none" w:sz="0" w:space="0" w:color="auto"/>
            <w:left w:val="none" w:sz="0" w:space="0" w:color="auto"/>
            <w:bottom w:val="none" w:sz="0" w:space="0" w:color="auto"/>
            <w:right w:val="none" w:sz="0" w:space="0" w:color="auto"/>
          </w:divBdr>
        </w:div>
        <w:div w:id="1385523627">
          <w:marLeft w:val="0"/>
          <w:marRight w:val="0"/>
          <w:marTop w:val="0"/>
          <w:marBottom w:val="0"/>
          <w:divBdr>
            <w:top w:val="none" w:sz="0" w:space="0" w:color="auto"/>
            <w:left w:val="none" w:sz="0" w:space="0" w:color="auto"/>
            <w:bottom w:val="none" w:sz="0" w:space="0" w:color="auto"/>
            <w:right w:val="none" w:sz="0" w:space="0" w:color="auto"/>
          </w:divBdr>
        </w:div>
        <w:div w:id="1952080902">
          <w:marLeft w:val="0"/>
          <w:marRight w:val="0"/>
          <w:marTop w:val="0"/>
          <w:marBottom w:val="0"/>
          <w:divBdr>
            <w:top w:val="none" w:sz="0" w:space="0" w:color="auto"/>
            <w:left w:val="none" w:sz="0" w:space="0" w:color="auto"/>
            <w:bottom w:val="none" w:sz="0" w:space="0" w:color="auto"/>
            <w:right w:val="none" w:sz="0" w:space="0" w:color="auto"/>
          </w:divBdr>
        </w:div>
        <w:div w:id="1789549391">
          <w:marLeft w:val="0"/>
          <w:marRight w:val="0"/>
          <w:marTop w:val="0"/>
          <w:marBottom w:val="0"/>
          <w:divBdr>
            <w:top w:val="none" w:sz="0" w:space="0" w:color="auto"/>
            <w:left w:val="none" w:sz="0" w:space="0" w:color="auto"/>
            <w:bottom w:val="none" w:sz="0" w:space="0" w:color="auto"/>
            <w:right w:val="none" w:sz="0" w:space="0" w:color="auto"/>
          </w:divBdr>
        </w:div>
        <w:div w:id="9182546">
          <w:marLeft w:val="0"/>
          <w:marRight w:val="0"/>
          <w:marTop w:val="0"/>
          <w:marBottom w:val="0"/>
          <w:divBdr>
            <w:top w:val="none" w:sz="0" w:space="0" w:color="auto"/>
            <w:left w:val="none" w:sz="0" w:space="0" w:color="auto"/>
            <w:bottom w:val="none" w:sz="0" w:space="0" w:color="auto"/>
            <w:right w:val="none" w:sz="0" w:space="0" w:color="auto"/>
          </w:divBdr>
        </w:div>
        <w:div w:id="1701973420">
          <w:marLeft w:val="0"/>
          <w:marRight w:val="0"/>
          <w:marTop w:val="0"/>
          <w:marBottom w:val="0"/>
          <w:divBdr>
            <w:top w:val="none" w:sz="0" w:space="0" w:color="auto"/>
            <w:left w:val="none" w:sz="0" w:space="0" w:color="auto"/>
            <w:bottom w:val="none" w:sz="0" w:space="0" w:color="auto"/>
            <w:right w:val="none" w:sz="0" w:space="0" w:color="auto"/>
          </w:divBdr>
        </w:div>
        <w:div w:id="15885128">
          <w:marLeft w:val="0"/>
          <w:marRight w:val="0"/>
          <w:marTop w:val="0"/>
          <w:marBottom w:val="0"/>
          <w:divBdr>
            <w:top w:val="none" w:sz="0" w:space="0" w:color="auto"/>
            <w:left w:val="none" w:sz="0" w:space="0" w:color="auto"/>
            <w:bottom w:val="none" w:sz="0" w:space="0" w:color="auto"/>
            <w:right w:val="none" w:sz="0" w:space="0" w:color="auto"/>
          </w:divBdr>
        </w:div>
        <w:div w:id="1732919053">
          <w:marLeft w:val="0"/>
          <w:marRight w:val="0"/>
          <w:marTop w:val="0"/>
          <w:marBottom w:val="0"/>
          <w:divBdr>
            <w:top w:val="none" w:sz="0" w:space="0" w:color="auto"/>
            <w:left w:val="none" w:sz="0" w:space="0" w:color="auto"/>
            <w:bottom w:val="none" w:sz="0" w:space="0" w:color="auto"/>
            <w:right w:val="none" w:sz="0" w:space="0" w:color="auto"/>
          </w:divBdr>
        </w:div>
        <w:div w:id="1955670190">
          <w:marLeft w:val="0"/>
          <w:marRight w:val="0"/>
          <w:marTop w:val="0"/>
          <w:marBottom w:val="0"/>
          <w:divBdr>
            <w:top w:val="none" w:sz="0" w:space="0" w:color="auto"/>
            <w:left w:val="none" w:sz="0" w:space="0" w:color="auto"/>
            <w:bottom w:val="none" w:sz="0" w:space="0" w:color="auto"/>
            <w:right w:val="none" w:sz="0" w:space="0" w:color="auto"/>
          </w:divBdr>
        </w:div>
        <w:div w:id="1109159229">
          <w:marLeft w:val="0"/>
          <w:marRight w:val="0"/>
          <w:marTop w:val="0"/>
          <w:marBottom w:val="0"/>
          <w:divBdr>
            <w:top w:val="none" w:sz="0" w:space="0" w:color="auto"/>
            <w:left w:val="none" w:sz="0" w:space="0" w:color="auto"/>
            <w:bottom w:val="none" w:sz="0" w:space="0" w:color="auto"/>
            <w:right w:val="none" w:sz="0" w:space="0" w:color="auto"/>
          </w:divBdr>
        </w:div>
        <w:div w:id="1775055965">
          <w:marLeft w:val="0"/>
          <w:marRight w:val="0"/>
          <w:marTop w:val="0"/>
          <w:marBottom w:val="0"/>
          <w:divBdr>
            <w:top w:val="none" w:sz="0" w:space="0" w:color="auto"/>
            <w:left w:val="none" w:sz="0" w:space="0" w:color="auto"/>
            <w:bottom w:val="none" w:sz="0" w:space="0" w:color="auto"/>
            <w:right w:val="none" w:sz="0" w:space="0" w:color="auto"/>
          </w:divBdr>
        </w:div>
        <w:div w:id="160702290">
          <w:marLeft w:val="0"/>
          <w:marRight w:val="0"/>
          <w:marTop w:val="0"/>
          <w:marBottom w:val="0"/>
          <w:divBdr>
            <w:top w:val="none" w:sz="0" w:space="0" w:color="auto"/>
            <w:left w:val="none" w:sz="0" w:space="0" w:color="auto"/>
            <w:bottom w:val="none" w:sz="0" w:space="0" w:color="auto"/>
            <w:right w:val="none" w:sz="0" w:space="0" w:color="auto"/>
          </w:divBdr>
        </w:div>
        <w:div w:id="724570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orc.ac.uk/registryservices/documents/ProceduresfortheRecognitionofPriorLearn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4" ma:contentTypeDescription="Create a new document." ma:contentTypeScope="" ma:versionID="263b4cb75478306975c27649924fa9b9">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64732ebee5ac30713f8f814e30348955"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EAA90-1E54-4A1C-94E9-A643B627E933}">
  <ds:schemaRefs>
    <ds:schemaRef ds:uri="Microsoft.SharePoint.Taxonomy.ContentTypeSync"/>
  </ds:schemaRefs>
</ds:datastoreItem>
</file>

<file path=customXml/itemProps3.xml><?xml version="1.0" encoding="utf-8"?>
<ds:datastoreItem xmlns:ds="http://schemas.openxmlformats.org/officeDocument/2006/customXml" ds:itemID="{A2CA2449-5E8D-45B3-A837-CEEA5B71C36C}"/>
</file>

<file path=customXml/itemProps4.xml><?xml version="1.0" encoding="utf-8"?>
<ds:datastoreItem xmlns:ds="http://schemas.openxmlformats.org/officeDocument/2006/customXml" ds:itemID="{5BB28572-8F8A-46DA-8F45-400325A0F7C3}">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7</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Sedgemoor District Council</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2</cp:revision>
  <dcterms:created xsi:type="dcterms:W3CDTF">2023-05-09T13:36:00Z</dcterms:created>
  <dcterms:modified xsi:type="dcterms:W3CDTF">2023-05-09T13:36:00Z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